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rPr>
          <w:rFonts w:ascii="Arial" w:cs="Arial" w:hAnsi="Arial" w:eastAsia="Arial"/>
          <w:b w:val="1"/>
          <w:bCs w:val="1"/>
          <w:sz w:val="32"/>
          <w:szCs w:val="32"/>
          <w:u w:val="single"/>
        </w:rPr>
      </w:pPr>
      <w:r>
        <w:rPr>
          <w:rFonts w:ascii="Arial" w:hAnsi="Arial"/>
          <w:b w:val="1"/>
          <w:bCs w:val="1"/>
          <w:sz w:val="32"/>
          <w:szCs w:val="32"/>
          <w:u w:val="single"/>
          <w:rtl w:val="0"/>
          <w:lang w:val="en-US"/>
        </w:rPr>
        <w:t>Local Outcomes Improvement Plan</w:t>
      </w:r>
      <w:r>
        <w:rPr>
          <w:rFonts w:ascii="Arial" w:hAnsi="Arial" w:hint="default"/>
          <w:b w:val="1"/>
          <w:bCs w:val="1"/>
          <w:sz w:val="32"/>
          <w:szCs w:val="32"/>
          <w:u w:val="single"/>
          <w:rtl w:val="0"/>
          <w:lang w:val="en-US"/>
        </w:rPr>
        <w:t xml:space="preserve"> – </w:t>
      </w:r>
      <w:r>
        <w:rPr>
          <w:rFonts w:ascii="Arial" w:hAnsi="Arial"/>
          <w:b w:val="1"/>
          <w:bCs w:val="1"/>
          <w:sz w:val="32"/>
          <w:szCs w:val="32"/>
          <w:u w:val="single"/>
          <w:rtl w:val="0"/>
          <w:lang w:val="en-US"/>
        </w:rPr>
        <w:t xml:space="preserve">End of Year Report </w:t>
      </w:r>
      <w:r>
        <w:rPr>
          <w:rFonts w:ascii="Arial" w:hAnsi="Arial" w:hint="default"/>
          <w:b w:val="1"/>
          <w:bCs w:val="1"/>
          <w:sz w:val="32"/>
          <w:szCs w:val="32"/>
          <w:u w:val="single"/>
          <w:rtl w:val="0"/>
          <w:lang w:val="en-US"/>
        </w:rPr>
        <w:t xml:space="preserve">– </w:t>
      </w:r>
      <w:r>
        <w:rPr>
          <w:rFonts w:ascii="Arial" w:hAnsi="Arial"/>
          <w:b w:val="1"/>
          <w:bCs w:val="1"/>
          <w:sz w:val="32"/>
          <w:szCs w:val="32"/>
          <w:u w:val="single"/>
          <w:rtl w:val="0"/>
          <w:lang w:val="en-US"/>
        </w:rPr>
        <w:t xml:space="preserve">2024-2025 </w:t>
      </w:r>
    </w:p>
    <w:p>
      <w:pPr>
        <w:pStyle w:val="Body"/>
        <w:jc w:val="center"/>
        <w:rPr>
          <w:rFonts w:ascii="Arial" w:cs="Arial" w:hAnsi="Arial" w:eastAsia="Arial"/>
          <w:b w:val="1"/>
          <w:bCs w:val="1"/>
          <w:sz w:val="28"/>
          <w:szCs w:val="28"/>
          <w:u w:val="single"/>
        </w:rPr>
      </w:pPr>
      <w:r>
        <w:rPr>
          <w:rFonts w:ascii="Arial" w:hAnsi="Arial"/>
          <w:b w:val="1"/>
          <w:bCs w:val="1"/>
          <w:sz w:val="28"/>
          <w:szCs w:val="28"/>
          <w:u w:val="single"/>
          <w:rtl w:val="0"/>
          <w:lang w:val="en-US"/>
        </w:rPr>
        <w:t>Community Planning Partnership Board Overview</w:t>
      </w:r>
    </w:p>
    <w:p>
      <w:pPr>
        <w:pStyle w:val="Body"/>
        <w:spacing w:after="0" w:line="240" w:lineRule="auto"/>
        <w:jc w:val="both"/>
        <w:rPr>
          <w:rFonts w:ascii="Arial" w:cs="Arial" w:hAnsi="Arial" w:eastAsia="Arial"/>
        </w:rPr>
      </w:pPr>
      <w:r>
        <w:rPr>
          <w:rFonts w:ascii="Arial" w:hAnsi="Arial"/>
          <w:rtl w:val="0"/>
          <w:lang w:val="en-US"/>
        </w:rPr>
        <w:t>During 2024/25, the Community Planning Partnership Board (CPPB) maintained the oversight and leadership for the implementation of our Local Outcomes Improvement Plan 2023 -2033 and also provided support and direction to our more recently established Community Planning Senior Leadership Team (CPSLT).</w:t>
      </w:r>
    </w:p>
    <w:p>
      <w:pPr>
        <w:pStyle w:val="Body"/>
        <w:spacing w:after="0" w:line="240" w:lineRule="auto"/>
        <w:jc w:val="both"/>
        <w:rPr>
          <w:rFonts w:ascii="Arial" w:cs="Arial" w:hAnsi="Arial" w:eastAsia="Arial"/>
        </w:rPr>
      </w:pPr>
      <w:r>
        <w:rPr>
          <w:rStyle w:val="Hyperlink.0"/>
        </w:rPr>
        <w:fldChar w:fldCharType="begin" w:fldLock="0"/>
      </w:r>
      <w:r>
        <w:rPr>
          <w:rStyle w:val="Hyperlink.0"/>
        </w:rPr>
        <w:instrText xml:space="preserve"> HYPERLINK "https://communityplanning.dumfriesandgalloway.gov.uk/local-outcomes-improvement-plan-loip-and-locality-plans"</w:instrText>
      </w:r>
      <w:r>
        <w:rPr>
          <w:rStyle w:val="Hyperlink.0"/>
        </w:rPr>
        <w:fldChar w:fldCharType="separate" w:fldLock="0"/>
      </w:r>
      <w:r>
        <w:rPr>
          <w:rStyle w:val="Hyperlink.0"/>
          <w:rtl w:val="0"/>
          <w:lang w:val="en-US"/>
        </w:rPr>
        <w:t>Local Outcomes Improvement Plan (LOIP) and Locality Plans | Community Planning</w:t>
      </w:r>
      <w:r>
        <w:rPr/>
        <w:fldChar w:fldCharType="end" w:fldLock="0"/>
      </w:r>
    </w:p>
    <w:p>
      <w:pPr>
        <w:pStyle w:val="Body"/>
        <w:jc w:val="both"/>
        <w:rPr>
          <w:rFonts w:ascii="Arial" w:cs="Arial" w:hAnsi="Arial" w:eastAsia="Arial"/>
        </w:rPr>
      </w:pPr>
      <w:r>
        <w:rPr>
          <w:rFonts w:ascii="Arial" w:hAnsi="Arial"/>
          <w:rtl w:val="0"/>
          <w:lang w:val="en-US"/>
        </w:rPr>
        <w:t xml:space="preserve">This led to a </w:t>
      </w:r>
      <w:r>
        <w:rPr>
          <w:rFonts w:ascii="Arial" w:hAnsi="Arial" w:hint="default"/>
          <w:rtl w:val="0"/>
          <w:lang w:val="en-US"/>
        </w:rPr>
        <w:t>“</w:t>
      </w:r>
      <w:r>
        <w:rPr>
          <w:rFonts w:ascii="Arial" w:hAnsi="Arial"/>
          <w:rtl w:val="0"/>
          <w:lang w:val="en-US"/>
        </w:rPr>
        <w:t>LOIP Action Plan</w:t>
      </w:r>
      <w:r>
        <w:rPr>
          <w:rFonts w:ascii="Arial" w:hAnsi="Arial" w:hint="default"/>
          <w:rtl w:val="0"/>
          <w:lang w:val="en-US"/>
        </w:rPr>
        <w:t xml:space="preserve">” </w:t>
      </w:r>
      <w:r>
        <w:rPr>
          <w:rFonts w:ascii="Arial" w:hAnsi="Arial"/>
          <w:rtl w:val="0"/>
          <w:lang w:val="en-US"/>
        </w:rPr>
        <w:t>being developed to provide partner focus around a number of identified priority work areas as follows:</w:t>
      </w:r>
    </w:p>
    <w:tbl>
      <w:tblPr>
        <w:tblW w:w="1394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1d7"/>
        <w:tblLayout w:type="fixed"/>
      </w:tblPr>
      <w:tblGrid>
        <w:gridCol w:w="6974"/>
        <w:gridCol w:w="6974"/>
      </w:tblGrid>
      <w:tr>
        <w:tblPrEx>
          <w:shd w:val="clear" w:color="auto" w:fill="cad1d7"/>
        </w:tblPrEx>
        <w:trPr>
          <w:trHeight w:val="282" w:hRule="atLeast"/>
        </w:trPr>
        <w:tc>
          <w:tcPr>
            <w:tcW w:type="dxa" w:w="69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
              </w:numPr>
              <w:spacing w:after="0" w:line="240" w:lineRule="auto"/>
              <w:jc w:val="both"/>
              <w:rPr>
                <w:rFonts w:ascii="Arial" w:hAnsi="Arial"/>
                <w:lang w:val="en-US"/>
              </w:rPr>
            </w:pPr>
            <w:r>
              <w:rPr>
                <w:rFonts w:ascii="Arial" w:hAnsi="Arial"/>
                <w:shd w:val="nil" w:color="auto" w:fill="auto"/>
                <w:rtl w:val="0"/>
                <w:lang w:val="en-US"/>
              </w:rPr>
              <w:t>Anchor Organisations</w:t>
            </w:r>
          </w:p>
        </w:tc>
        <w:tc>
          <w:tcPr>
            <w:tcW w:type="dxa" w:w="69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
              </w:numPr>
              <w:spacing w:after="0" w:line="240" w:lineRule="auto"/>
              <w:jc w:val="both"/>
              <w:rPr>
                <w:rFonts w:ascii="Arial" w:hAnsi="Arial"/>
                <w:lang w:val="en-US"/>
              </w:rPr>
            </w:pPr>
            <w:r>
              <w:rPr>
                <w:rFonts w:ascii="Arial" w:hAnsi="Arial"/>
                <w:shd w:val="nil" w:color="auto" w:fill="auto"/>
                <w:rtl w:val="0"/>
                <w:lang w:val="en-US"/>
              </w:rPr>
              <w:t>Digital</w:t>
            </w:r>
          </w:p>
        </w:tc>
      </w:tr>
      <w:tr>
        <w:tblPrEx>
          <w:shd w:val="clear" w:color="auto" w:fill="cad1d7"/>
        </w:tblPrEx>
        <w:trPr>
          <w:trHeight w:val="282" w:hRule="atLeast"/>
        </w:trPr>
        <w:tc>
          <w:tcPr>
            <w:tcW w:type="dxa" w:w="69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3"/>
              </w:numPr>
              <w:spacing w:after="0" w:line="240" w:lineRule="auto"/>
              <w:jc w:val="both"/>
              <w:rPr>
                <w:rFonts w:ascii="Arial" w:hAnsi="Arial"/>
                <w:lang w:val="en-US"/>
              </w:rPr>
            </w:pPr>
            <w:r>
              <w:rPr>
                <w:rFonts w:ascii="Arial" w:hAnsi="Arial"/>
                <w:shd w:val="nil" w:color="auto" w:fill="auto"/>
                <w:rtl w:val="0"/>
                <w:lang w:val="en-US"/>
              </w:rPr>
              <w:t>Community Wealth Building</w:t>
            </w:r>
          </w:p>
        </w:tc>
        <w:tc>
          <w:tcPr>
            <w:tcW w:type="dxa" w:w="69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4"/>
              </w:numPr>
              <w:spacing w:after="0" w:line="240" w:lineRule="auto"/>
              <w:jc w:val="both"/>
              <w:rPr>
                <w:rFonts w:ascii="Arial" w:hAnsi="Arial"/>
                <w:lang w:val="en-US"/>
              </w:rPr>
            </w:pPr>
            <w:r>
              <w:rPr>
                <w:rFonts w:ascii="Arial" w:hAnsi="Arial"/>
                <w:shd w:val="nil" w:color="auto" w:fill="auto"/>
                <w:rtl w:val="0"/>
                <w:lang w:val="en-US"/>
              </w:rPr>
              <w:t>Climate</w:t>
            </w:r>
          </w:p>
        </w:tc>
      </w:tr>
      <w:tr>
        <w:tblPrEx>
          <w:shd w:val="clear" w:color="auto" w:fill="cad1d7"/>
        </w:tblPrEx>
        <w:trPr>
          <w:trHeight w:val="282" w:hRule="atLeast"/>
        </w:trPr>
        <w:tc>
          <w:tcPr>
            <w:tcW w:type="dxa" w:w="69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5"/>
              </w:numPr>
              <w:spacing w:after="0" w:line="240" w:lineRule="auto"/>
              <w:jc w:val="both"/>
              <w:rPr>
                <w:rFonts w:ascii="Arial" w:hAnsi="Arial"/>
                <w:lang w:val="en-US"/>
              </w:rPr>
            </w:pPr>
            <w:r>
              <w:rPr>
                <w:rFonts w:ascii="Arial" w:hAnsi="Arial"/>
                <w:shd w:val="nil" w:color="auto" w:fill="auto"/>
                <w:rtl w:val="0"/>
                <w:lang w:val="en-US"/>
              </w:rPr>
              <w:t>Tobacco and Vaping</w:t>
            </w:r>
          </w:p>
        </w:tc>
        <w:tc>
          <w:tcPr>
            <w:tcW w:type="dxa" w:w="69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6"/>
              </w:numPr>
              <w:spacing w:after="0" w:line="240" w:lineRule="auto"/>
              <w:jc w:val="both"/>
              <w:rPr>
                <w:rFonts w:ascii="Arial" w:hAnsi="Arial"/>
                <w:lang w:val="en-US"/>
              </w:rPr>
            </w:pPr>
            <w:r>
              <w:rPr>
                <w:rFonts w:ascii="Arial" w:hAnsi="Arial"/>
                <w:shd w:val="nil" w:color="auto" w:fill="auto"/>
                <w:rtl w:val="0"/>
                <w:lang w:val="en-US"/>
              </w:rPr>
              <w:t>Reducing the disability employment gap</w:t>
            </w:r>
          </w:p>
        </w:tc>
      </w:tr>
      <w:tr>
        <w:tblPrEx>
          <w:shd w:val="clear" w:color="auto" w:fill="cad1d7"/>
        </w:tblPrEx>
        <w:trPr>
          <w:trHeight w:val="562" w:hRule="atLeast"/>
        </w:trPr>
        <w:tc>
          <w:tcPr>
            <w:tcW w:type="dxa" w:w="69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7"/>
              </w:numPr>
              <w:spacing w:after="0" w:line="240" w:lineRule="auto"/>
              <w:jc w:val="both"/>
              <w:rPr>
                <w:rFonts w:ascii="Arial" w:hAnsi="Arial"/>
                <w:lang w:val="en-US"/>
              </w:rPr>
            </w:pPr>
            <w:r>
              <w:rPr>
                <w:rFonts w:ascii="Arial" w:hAnsi="Arial"/>
                <w:shd w:val="nil" w:color="auto" w:fill="auto"/>
                <w:rtl w:val="0"/>
                <w:lang w:val="en-US"/>
              </w:rPr>
              <w:t>Locality Plan</w:t>
            </w:r>
          </w:p>
        </w:tc>
        <w:tc>
          <w:tcPr>
            <w:tcW w:type="dxa" w:w="69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8"/>
              </w:numPr>
              <w:spacing w:after="0" w:line="240" w:lineRule="auto"/>
              <w:jc w:val="both"/>
              <w:rPr>
                <w:rFonts w:ascii="Arial" w:hAnsi="Arial"/>
                <w:lang w:val="en-US"/>
              </w:rPr>
            </w:pPr>
            <w:r>
              <w:rPr>
                <w:rFonts w:ascii="Arial" w:hAnsi="Arial"/>
                <w:shd w:val="nil" w:color="auto" w:fill="auto"/>
                <w:rtl w:val="0"/>
                <w:lang w:val="en-US"/>
              </w:rPr>
              <w:t>Review of Plans/Strategies which contribute to our Community Planning model</w:t>
            </w:r>
          </w:p>
        </w:tc>
      </w:tr>
    </w:tbl>
    <w:p>
      <w:pPr>
        <w:pStyle w:val="Body"/>
        <w:widowControl w:val="0"/>
        <w:spacing w:line="240" w:lineRule="auto"/>
        <w:jc w:val="both"/>
        <w:rPr>
          <w:rFonts w:ascii="Arial" w:cs="Arial" w:hAnsi="Arial" w:eastAsia="Arial"/>
        </w:rPr>
      </w:pPr>
    </w:p>
    <w:p>
      <w:pPr>
        <w:pStyle w:val="Body"/>
        <w:spacing w:after="0" w:line="240" w:lineRule="auto"/>
        <w:jc w:val="both"/>
        <w:rPr>
          <w:rFonts w:ascii="Arial" w:cs="Arial" w:hAnsi="Arial" w:eastAsia="Arial"/>
        </w:rPr>
      </w:pPr>
    </w:p>
    <w:p>
      <w:pPr>
        <w:pStyle w:val="Body"/>
        <w:spacing w:after="0" w:line="240" w:lineRule="auto"/>
        <w:jc w:val="both"/>
        <w:rPr>
          <w:rFonts w:ascii="Arial" w:cs="Arial" w:hAnsi="Arial" w:eastAsia="Arial"/>
        </w:rPr>
      </w:pPr>
      <w:r>
        <w:rPr>
          <w:rFonts w:ascii="Arial" w:hAnsi="Arial"/>
          <w:rtl w:val="0"/>
          <w:lang w:val="en-US"/>
        </w:rPr>
        <w:t>Whilst four projects are still underway, four projects have been completed/are close to being completed and a summary of these is provided as follows:</w:t>
      </w:r>
    </w:p>
    <w:p>
      <w:pPr>
        <w:pStyle w:val="Body"/>
        <w:spacing w:after="0" w:line="240" w:lineRule="auto"/>
        <w:jc w:val="both"/>
        <w:rPr>
          <w:rFonts w:ascii="Arial" w:cs="Arial" w:hAnsi="Arial" w:eastAsia="Arial"/>
        </w:rPr>
      </w:pPr>
    </w:p>
    <w:p>
      <w:pPr>
        <w:pStyle w:val="Body"/>
        <w:spacing w:after="0" w:line="240" w:lineRule="auto"/>
        <w:jc w:val="both"/>
        <w:rPr>
          <w:rFonts w:ascii="Arial" w:cs="Arial" w:hAnsi="Arial" w:eastAsia="Arial"/>
          <w:b w:val="1"/>
          <w:bCs w:val="1"/>
          <w:u w:val="single"/>
        </w:rPr>
      </w:pPr>
      <w:r>
        <w:rPr>
          <w:rFonts w:ascii="Arial" w:hAnsi="Arial"/>
          <w:b w:val="1"/>
          <w:bCs w:val="1"/>
          <w:u w:val="single"/>
          <w:rtl w:val="0"/>
          <w:lang w:val="fr-FR"/>
        </w:rPr>
        <w:t>Anchor Organisations</w:t>
      </w:r>
    </w:p>
    <w:p>
      <w:pPr>
        <w:pStyle w:val="Body"/>
        <w:spacing w:after="0" w:line="240" w:lineRule="auto"/>
        <w:rPr>
          <w:rFonts w:ascii="Arial" w:cs="Arial" w:hAnsi="Arial" w:eastAsia="Arial"/>
          <w:b w:val="1"/>
          <w:bCs w:val="1"/>
        </w:rPr>
      </w:pPr>
      <w:r>
        <w:rPr>
          <w:rFonts w:ascii="Arial" w:hAnsi="Arial"/>
          <w:b w:val="1"/>
          <w:bCs w:val="1"/>
          <w:rtl w:val="0"/>
          <w:lang w:val="en-US"/>
        </w:rPr>
        <w:t>Anchor Organisations: Strengthening Our Role in Community Wealth Building</w:t>
      </w:r>
    </w:p>
    <w:p>
      <w:pPr>
        <w:pStyle w:val="Body"/>
        <w:spacing w:after="0" w:line="240" w:lineRule="auto"/>
        <w:rPr>
          <w:rFonts w:ascii="Arial" w:cs="Arial" w:hAnsi="Arial" w:eastAsia="Arial"/>
        </w:rPr>
      </w:pPr>
      <w:r>
        <w:rPr>
          <w:rFonts w:ascii="Arial" w:hAnsi="Arial"/>
          <w:rtl w:val="0"/>
          <w:lang w:val="en-US"/>
        </w:rPr>
        <w:t>This work was led by the</w:t>
      </w:r>
      <w:r>
        <w:rPr>
          <w:rFonts w:ascii="Arial" w:hAnsi="Arial" w:hint="default"/>
          <w:rtl w:val="0"/>
          <w:lang w:val="en-US"/>
        </w:rPr>
        <w:t> </w:t>
      </w:r>
      <w:r>
        <w:rPr>
          <w:rFonts w:ascii="Arial" w:hAnsi="Arial"/>
          <w:rtl w:val="0"/>
          <w:lang w:val="en-US"/>
        </w:rPr>
        <w:t>Director of Public Health, with support from</w:t>
      </w:r>
      <w:r>
        <w:rPr>
          <w:rFonts w:ascii="Arial" w:hAnsi="Arial" w:hint="default"/>
          <w:rtl w:val="0"/>
          <w:lang w:val="en-US"/>
        </w:rPr>
        <w:t> </w:t>
      </w:r>
      <w:r>
        <w:rPr>
          <w:rFonts w:ascii="Arial" w:hAnsi="Arial"/>
          <w:rtl w:val="0"/>
          <w:lang w:val="en-US"/>
        </w:rPr>
        <w:t>Public Health Scotland (PHS). All Community Planning (CP) partners undertook a self-assessment using the PHS framework:</w:t>
      </w:r>
    </w:p>
    <w:p>
      <w:pPr>
        <w:pStyle w:val="Body"/>
        <w:spacing w:after="0" w:line="240" w:lineRule="auto"/>
        <w:rPr>
          <w:rFonts w:ascii="Arial" w:cs="Arial" w:hAnsi="Arial" w:eastAsia="Arial"/>
        </w:rPr>
      </w:pPr>
      <w:r>
        <w:rPr>
          <w:rStyle w:val="Hyperlink.0"/>
        </w:rPr>
        <w:fldChar w:fldCharType="begin" w:fldLock="0"/>
      </w:r>
      <w:r>
        <w:rPr>
          <w:rStyle w:val="Hyperlink.0"/>
        </w:rPr>
        <w:instrText xml:space="preserve"> HYPERLINK "https://publichealthscotland.scot/publications/harnessing-the-power-of-anchor-institutions-a-progression-framework-for-scottish-organisations"</w:instrText>
      </w:r>
      <w:r>
        <w:rPr>
          <w:rStyle w:val="Hyperlink.0"/>
        </w:rPr>
        <w:fldChar w:fldCharType="separate" w:fldLock="0"/>
      </w:r>
      <w:r>
        <w:rPr>
          <w:rStyle w:val="Hyperlink.0"/>
          <w:rtl w:val="0"/>
          <w:lang w:val="en-US"/>
        </w:rPr>
        <w:t>Harnessing the power of anchor institutions: a progression framework for Scottish organisations - Publications - Public Health Scotland</w:t>
      </w:r>
      <w:r>
        <w:rPr/>
        <w:fldChar w:fldCharType="end" w:fldLock="0"/>
      </w:r>
    </w:p>
    <w:p>
      <w:pPr>
        <w:pStyle w:val="Body"/>
        <w:spacing w:after="0" w:line="240" w:lineRule="auto"/>
        <w:rPr>
          <w:rFonts w:ascii="Arial" w:cs="Arial" w:hAnsi="Arial" w:eastAsia="Arial"/>
          <w:b w:val="1"/>
          <w:bCs w:val="1"/>
        </w:rPr>
      </w:pPr>
      <w:r>
        <w:rPr>
          <w:rFonts w:ascii="Arial" w:hAnsi="Arial"/>
          <w:b w:val="1"/>
          <w:bCs w:val="1"/>
          <w:rtl w:val="0"/>
          <w:lang w:val="en-US"/>
        </w:rPr>
        <w:t>Key Insights:</w:t>
      </w:r>
    </w:p>
    <w:p>
      <w:pPr>
        <w:pStyle w:val="Body"/>
        <w:numPr>
          <w:ilvl w:val="0"/>
          <w:numId w:val="10"/>
        </w:numPr>
        <w:bidi w:val="0"/>
        <w:spacing w:after="0" w:line="240" w:lineRule="auto"/>
        <w:ind w:right="0"/>
        <w:jc w:val="left"/>
        <w:rPr>
          <w:rFonts w:ascii="Arial" w:hAnsi="Arial"/>
          <w:rtl w:val="0"/>
          <w:lang w:val="en-US"/>
        </w:rPr>
      </w:pPr>
      <w:r>
        <w:rPr>
          <w:rFonts w:ascii="Arial" w:hAnsi="Arial"/>
          <w:b w:val="1"/>
          <w:bCs w:val="1"/>
          <w:rtl w:val="0"/>
          <w:lang w:val="en-US"/>
        </w:rPr>
        <w:t>Improved Understanding</w:t>
      </w:r>
      <w:r>
        <w:rPr>
          <w:rStyle w:val="wacimagecontainer"/>
          <w:rFonts w:ascii="Arial" w:hAnsi="Arial"/>
          <w:rtl w:val="0"/>
          <w:lang w:val="en-US"/>
        </w:rPr>
        <w:t>: All CPP partners gained a clearer understanding of what it means to be an</w:t>
      </w:r>
      <w:r>
        <w:rPr>
          <w:rFonts w:ascii="Arial" w:hAnsi="Arial" w:hint="default"/>
          <w:rtl w:val="0"/>
          <w:lang w:val="en-US"/>
        </w:rPr>
        <w:t> </w:t>
      </w:r>
      <w:r>
        <w:rPr>
          <w:rFonts w:ascii="Arial" w:hAnsi="Arial"/>
          <w:i w:val="1"/>
          <w:iCs w:val="1"/>
          <w:rtl w:val="0"/>
          <w:lang w:val="fr-FR"/>
        </w:rPr>
        <w:t>anchor organisation</w:t>
      </w:r>
      <w:r>
        <w:rPr>
          <w:rFonts w:ascii="Arial" w:hAnsi="Arial" w:hint="default"/>
          <w:rtl w:val="0"/>
          <w:lang w:val="en-US"/>
        </w:rPr>
        <w:t> </w:t>
      </w:r>
      <w:r>
        <w:rPr>
          <w:rStyle w:val="wacimagecontainer"/>
          <w:rFonts w:ascii="Arial" w:hAnsi="Arial"/>
          <w:rtl w:val="0"/>
          <w:lang w:val="en-US"/>
        </w:rPr>
        <w:t>and the role they can play in supporting local communities.</w:t>
      </w:r>
    </w:p>
    <w:p>
      <w:pPr>
        <w:pStyle w:val="Body"/>
        <w:numPr>
          <w:ilvl w:val="0"/>
          <w:numId w:val="10"/>
        </w:numPr>
        <w:bidi w:val="0"/>
        <w:spacing w:after="0" w:line="240" w:lineRule="auto"/>
        <w:ind w:right="0"/>
        <w:jc w:val="left"/>
        <w:rPr>
          <w:rFonts w:ascii="Arial" w:hAnsi="Arial"/>
          <w:rtl w:val="0"/>
          <w:lang w:val="en-US"/>
        </w:rPr>
      </w:pPr>
      <w:r>
        <w:rPr>
          <w:rFonts w:ascii="Arial" w:hAnsi="Arial"/>
          <w:b w:val="1"/>
          <w:bCs w:val="1"/>
          <w:rtl w:val="0"/>
          <w:lang w:val="en-US"/>
        </w:rPr>
        <w:t>Existing Strengths</w:t>
      </w:r>
      <w:r>
        <w:rPr>
          <w:rStyle w:val="wacimagecontainer"/>
          <w:rFonts w:ascii="Arial" w:hAnsi="Arial"/>
          <w:rtl w:val="0"/>
          <w:lang w:val="en-US"/>
        </w:rPr>
        <w:t>: The assessment confirmed that partners are already engaged in a wide range of anchor activities.</w:t>
      </w:r>
    </w:p>
    <w:p>
      <w:pPr>
        <w:pStyle w:val="Body"/>
        <w:numPr>
          <w:ilvl w:val="0"/>
          <w:numId w:val="10"/>
        </w:numPr>
        <w:bidi w:val="0"/>
        <w:spacing w:after="0" w:line="240" w:lineRule="auto"/>
        <w:ind w:right="0"/>
        <w:jc w:val="left"/>
        <w:rPr>
          <w:rFonts w:ascii="Arial" w:hAnsi="Arial"/>
          <w:rtl w:val="0"/>
          <w:lang w:val="en-US"/>
        </w:rPr>
      </w:pPr>
      <w:r>
        <w:rPr>
          <w:rFonts w:ascii="Arial" w:hAnsi="Arial"/>
          <w:b w:val="1"/>
          <w:bCs w:val="1"/>
          <w:rtl w:val="0"/>
          <w:lang w:val="en-US"/>
        </w:rPr>
        <w:t>Identifying Gaps and Opportunities</w:t>
      </w:r>
      <w:r>
        <w:rPr>
          <w:rStyle w:val="wacimagecontainer"/>
          <w:rFonts w:ascii="Arial" w:hAnsi="Arial"/>
          <w:rtl w:val="0"/>
          <w:lang w:val="en-US"/>
        </w:rPr>
        <w:t>: The process helped highlight areas where anchor work could be strengthened. It also identified examples of best practice</w:t>
      </w:r>
      <w:r>
        <w:rPr>
          <w:rFonts w:ascii="Arial" w:hAnsi="Arial" w:hint="default"/>
          <w:rtl w:val="0"/>
          <w:lang w:val="en-US"/>
        </w:rPr>
        <w:t>—</w:t>
      </w:r>
      <w:r>
        <w:rPr>
          <w:rStyle w:val="wacimagecontainer"/>
          <w:rFonts w:ascii="Arial" w:hAnsi="Arial"/>
          <w:rtl w:val="0"/>
          <w:lang w:val="en-US"/>
        </w:rPr>
        <w:t>such as</w:t>
      </w:r>
      <w:r>
        <w:rPr>
          <w:rFonts w:ascii="Arial" w:hAnsi="Arial" w:hint="default"/>
          <w:rtl w:val="0"/>
          <w:lang w:val="en-US"/>
        </w:rPr>
        <w:t> </w:t>
      </w:r>
      <w:r>
        <w:rPr>
          <w:rStyle w:val="wacimagecontainer"/>
          <w:rFonts w:ascii="Arial" w:hAnsi="Arial"/>
          <w:rtl w:val="0"/>
          <w:lang w:val="en-US"/>
        </w:rPr>
        <w:t>Dumfries and Galloway Council</w:t>
      </w:r>
      <w:r>
        <w:rPr>
          <w:rFonts w:ascii="Arial" w:hAnsi="Arial" w:hint="default"/>
          <w:rtl w:val="0"/>
          <w:lang w:val="en-US"/>
        </w:rPr>
        <w:t>’</w:t>
      </w:r>
      <w:r>
        <w:rPr>
          <w:rStyle w:val="wacimagecontainer"/>
          <w:rFonts w:ascii="Arial" w:hAnsi="Arial"/>
          <w:rtl w:val="0"/>
          <w:lang w:val="en-US"/>
        </w:rPr>
        <w:t>s leadership in community asset transfers, which earned a</w:t>
      </w:r>
      <w:r>
        <w:rPr>
          <w:rFonts w:ascii="Arial" w:hAnsi="Arial" w:hint="default"/>
          <w:rtl w:val="0"/>
          <w:lang w:val="en-US"/>
        </w:rPr>
        <w:t> </w:t>
      </w:r>
      <w:r>
        <w:rPr>
          <w:rStyle w:val="wacimagecontainer"/>
          <w:rFonts w:ascii="Arial" w:hAnsi="Arial"/>
          <w:rtl w:val="0"/>
          <w:lang w:val="en-US"/>
        </w:rPr>
        <w:t>CoSLA Excellence Award</w:t>
      </w:r>
      <w:r>
        <w:rPr>
          <w:rFonts w:ascii="Arial" w:hAnsi="Arial" w:hint="default"/>
          <w:rtl w:val="0"/>
          <w:lang w:val="en-US"/>
        </w:rPr>
        <w:t>—</w:t>
      </w:r>
      <w:r>
        <w:rPr>
          <w:rStyle w:val="wacimagecontainer"/>
          <w:rFonts w:ascii="Arial" w:hAnsi="Arial"/>
          <w:rtl w:val="0"/>
          <w:lang w:val="en-US"/>
        </w:rPr>
        <w:t>offering valuable learning opportunities for other partners.</w:t>
      </w:r>
    </w:p>
    <w:p>
      <w:pPr>
        <w:pStyle w:val="Body"/>
        <w:numPr>
          <w:ilvl w:val="0"/>
          <w:numId w:val="10"/>
        </w:numPr>
        <w:bidi w:val="0"/>
        <w:spacing w:after="0" w:line="240" w:lineRule="auto"/>
        <w:ind w:right="0"/>
        <w:jc w:val="left"/>
        <w:rPr>
          <w:rFonts w:ascii="Arial" w:hAnsi="Arial"/>
          <w:rtl w:val="0"/>
          <w:lang w:val="en-US"/>
        </w:rPr>
      </w:pPr>
      <w:r>
        <w:rPr>
          <w:rFonts w:ascii="Arial" w:hAnsi="Arial"/>
          <w:b w:val="1"/>
          <w:bCs w:val="1"/>
          <w:rtl w:val="0"/>
          <w:lang w:val="en-US"/>
        </w:rPr>
        <w:t>Focus on Procurement</w:t>
      </w:r>
      <w:r>
        <w:rPr>
          <w:rStyle w:val="wacimagecontainer"/>
          <w:rFonts w:ascii="Arial" w:hAnsi="Arial"/>
          <w:rtl w:val="0"/>
          <w:lang w:val="en-US"/>
        </w:rPr>
        <w:t>: One key area identified for development is</w:t>
      </w:r>
      <w:r>
        <w:rPr>
          <w:rFonts w:ascii="Arial" w:hAnsi="Arial" w:hint="default"/>
          <w:rtl w:val="0"/>
          <w:lang w:val="en-US"/>
        </w:rPr>
        <w:t> </w:t>
      </w:r>
      <w:r>
        <w:rPr>
          <w:rStyle w:val="wacimagecontainer"/>
          <w:rFonts w:ascii="Arial" w:hAnsi="Arial"/>
          <w:rtl w:val="0"/>
          <w:lang w:val="fr-FR"/>
        </w:rPr>
        <w:t>procurement</w:t>
      </w:r>
      <w:r>
        <w:rPr>
          <w:rFonts w:ascii="Arial" w:hAnsi="Arial" w:hint="default"/>
          <w:rtl w:val="0"/>
          <w:lang w:val="en-US"/>
        </w:rPr>
        <w:t>—</w:t>
      </w:r>
      <w:r>
        <w:rPr>
          <w:rStyle w:val="wacimagecontainer"/>
          <w:rFonts w:ascii="Arial" w:hAnsi="Arial"/>
          <w:rtl w:val="0"/>
          <w:lang w:val="en-US"/>
        </w:rPr>
        <w:t>specifically, how the buying of goods and services can be better aligned to benefit the local economy.</w:t>
      </w:r>
    </w:p>
    <w:p>
      <w:pPr>
        <w:pStyle w:val="Body"/>
        <w:spacing w:after="0" w:line="240" w:lineRule="auto"/>
        <w:rPr>
          <w:rFonts w:ascii="Arial" w:cs="Arial" w:hAnsi="Arial" w:eastAsia="Arial"/>
        </w:rPr>
      </w:pPr>
      <w:r>
        <w:rPr>
          <w:rFonts w:ascii="Arial" w:cs="Arial" w:hAnsi="Arial" w:eastAsia="Arial"/>
        </w:rPr>
        <mc:AlternateContent>
          <mc:Choice Requires="wps">
            <w:drawing xmlns:a="http://schemas.openxmlformats.org/drawingml/2006/main">
              <wp:inline distT="0" distB="0" distL="0" distR="0">
                <wp:extent cx="5436871" cy="12700"/>
                <wp:effectExtent l="0" t="0" r="0" b="0"/>
                <wp:docPr id="1073741827" name="officeArt object" descr="Rectangle"/>
                <wp:cNvGraphicFramePr/>
                <a:graphic xmlns:a="http://schemas.openxmlformats.org/drawingml/2006/main">
                  <a:graphicData uri="http://schemas.microsoft.com/office/word/2010/wordprocessingShape">
                    <wps:wsp>
                      <wps:cNvSpPr/>
                      <wps:spPr>
                        <a:xfrm>
                          <a:off x="0" y="0"/>
                          <a:ext cx="5436871" cy="12700"/>
                        </a:xfrm>
                        <a:prstGeom prst="rect">
                          <a:avLst/>
                        </a:prstGeom>
                        <a:solidFill>
                          <a:srgbClr val="424242"/>
                        </a:solidFill>
                        <a:ln w="12700" cap="flat">
                          <a:noFill/>
                          <a:miter lim="400000"/>
                        </a:ln>
                        <a:effectLst/>
                      </wps:spPr>
                      <wps:bodyPr/>
                    </wps:wsp>
                  </a:graphicData>
                </a:graphic>
              </wp:inline>
            </w:drawing>
          </mc:Choice>
          <mc:Fallback>
            <w:pict>
              <v:rect id="_x0000_s1026" style="visibility:visible;width:428.1pt;height:1.0pt;">
                <v:fill color="#424242"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pPr>
        <w:pStyle w:val="Body"/>
        <w:spacing w:after="0" w:line="240" w:lineRule="auto"/>
        <w:rPr>
          <w:rFonts w:ascii="Arial" w:cs="Arial" w:hAnsi="Arial" w:eastAsia="Arial"/>
          <w:b w:val="1"/>
          <w:bCs w:val="1"/>
        </w:rPr>
      </w:pPr>
      <w:r>
        <w:rPr>
          <w:rFonts w:ascii="Arial" w:hAnsi="Arial"/>
          <w:b w:val="1"/>
          <w:bCs w:val="1"/>
          <w:rtl w:val="0"/>
          <w:lang w:val="en-US"/>
        </w:rPr>
        <w:t>What</w:t>
      </w:r>
      <w:r>
        <w:rPr>
          <w:rFonts w:ascii="Arial" w:hAnsi="Arial" w:hint="default"/>
          <w:b w:val="1"/>
          <w:bCs w:val="1"/>
          <w:rtl w:val="0"/>
          <w:lang w:val="en-US"/>
        </w:rPr>
        <w:t>’</w:t>
      </w:r>
      <w:r>
        <w:rPr>
          <w:rFonts w:ascii="Arial" w:hAnsi="Arial"/>
          <w:b w:val="1"/>
          <w:bCs w:val="1"/>
          <w:rtl w:val="0"/>
          <w:lang w:val="en-US"/>
        </w:rPr>
        <w:t>s Next?</w:t>
      </w:r>
    </w:p>
    <w:p>
      <w:pPr>
        <w:pStyle w:val="Body"/>
        <w:numPr>
          <w:ilvl w:val="0"/>
          <w:numId w:val="12"/>
        </w:numPr>
        <w:bidi w:val="0"/>
        <w:spacing w:after="0" w:line="240" w:lineRule="auto"/>
        <w:ind w:right="0"/>
        <w:jc w:val="left"/>
        <w:rPr>
          <w:rFonts w:ascii="Arial" w:hAnsi="Arial"/>
          <w:rtl w:val="0"/>
          <w:lang w:val="en-US"/>
        </w:rPr>
      </w:pPr>
      <w:r>
        <w:rPr>
          <w:rStyle w:val="wacimagecontainer"/>
          <w:rFonts w:ascii="Arial" w:hAnsi="Arial"/>
          <w:rtl w:val="0"/>
          <w:lang w:val="en-US"/>
        </w:rPr>
        <w:t>Each CPP partner will reflect on their own</w:t>
      </w:r>
      <w:r>
        <w:rPr>
          <w:rFonts w:ascii="Arial" w:hAnsi="Arial" w:hint="default"/>
          <w:rtl w:val="0"/>
          <w:lang w:val="en-US"/>
        </w:rPr>
        <w:t> </w:t>
      </w:r>
      <w:r>
        <w:rPr>
          <w:rStyle w:val="wacimagecontainer"/>
          <w:rFonts w:ascii="Arial" w:hAnsi="Arial"/>
          <w:rtl w:val="0"/>
          <w:lang w:val="en-US"/>
        </w:rPr>
        <w:t>anchor actions</w:t>
      </w:r>
      <w:r>
        <w:rPr>
          <w:rFonts w:ascii="Arial" w:hAnsi="Arial" w:hint="default"/>
          <w:rtl w:val="0"/>
          <w:lang w:val="en-US"/>
        </w:rPr>
        <w:t> </w:t>
      </w:r>
      <w:r>
        <w:rPr>
          <w:rStyle w:val="wacimagecontainer"/>
          <w:rFonts w:ascii="Arial" w:hAnsi="Arial"/>
          <w:rtl w:val="0"/>
          <w:lang w:val="en-US"/>
        </w:rPr>
        <w:t>and identify opportunities to enhance their contribution.</w:t>
      </w:r>
    </w:p>
    <w:p>
      <w:pPr>
        <w:pStyle w:val="Body"/>
        <w:numPr>
          <w:ilvl w:val="0"/>
          <w:numId w:val="12"/>
        </w:numPr>
        <w:bidi w:val="0"/>
        <w:spacing w:after="0" w:line="240" w:lineRule="auto"/>
        <w:ind w:right="0"/>
        <w:jc w:val="left"/>
        <w:rPr>
          <w:rFonts w:ascii="Arial" w:hAnsi="Arial"/>
          <w:rtl w:val="0"/>
          <w:lang w:val="en-US"/>
        </w:rPr>
      </w:pPr>
      <w:r>
        <w:rPr>
          <w:rStyle w:val="wacimagecontainer"/>
          <w:rFonts w:ascii="Arial" w:hAnsi="Arial"/>
          <w:rtl w:val="0"/>
          <w:lang w:val="en-US"/>
        </w:rPr>
        <w:t>Collectively, the CPP will explore ways to</w:t>
      </w:r>
      <w:r>
        <w:rPr>
          <w:rFonts w:ascii="Arial" w:hAnsi="Arial" w:hint="default"/>
          <w:rtl w:val="0"/>
          <w:lang w:val="en-US"/>
        </w:rPr>
        <w:t> </w:t>
      </w:r>
      <w:r>
        <w:rPr>
          <w:rStyle w:val="wacimagecontainer"/>
          <w:rFonts w:ascii="Arial" w:hAnsi="Arial"/>
          <w:rtl w:val="0"/>
          <w:lang w:val="en-US"/>
        </w:rPr>
        <w:t>build community wealth</w:t>
      </w:r>
      <w:r>
        <w:rPr>
          <w:rFonts w:ascii="Arial" w:hAnsi="Arial" w:hint="default"/>
          <w:rtl w:val="0"/>
          <w:lang w:val="en-US"/>
        </w:rPr>
        <w:t> </w:t>
      </w:r>
      <w:r>
        <w:rPr>
          <w:rStyle w:val="wacimagecontainer"/>
          <w:rFonts w:ascii="Arial" w:hAnsi="Arial"/>
          <w:rtl w:val="0"/>
          <w:lang w:val="en-US"/>
        </w:rPr>
        <w:t>by strengthening</w:t>
      </w:r>
      <w:r>
        <w:rPr>
          <w:rFonts w:ascii="Arial" w:hAnsi="Arial" w:hint="default"/>
          <w:rtl w:val="0"/>
          <w:lang w:val="en-US"/>
        </w:rPr>
        <w:t> </w:t>
      </w:r>
      <w:r>
        <w:rPr>
          <w:rStyle w:val="wacimagecontainer"/>
          <w:rFonts w:ascii="Arial" w:hAnsi="Arial"/>
          <w:rtl w:val="0"/>
          <w:lang w:val="en-US"/>
        </w:rPr>
        <w:t>local procurement practices.</w:t>
      </w:r>
    </w:p>
    <w:p>
      <w:pPr>
        <w:pStyle w:val="Body"/>
        <w:numPr>
          <w:ilvl w:val="0"/>
          <w:numId w:val="12"/>
        </w:numPr>
        <w:bidi w:val="0"/>
        <w:spacing w:after="0" w:line="240" w:lineRule="auto"/>
        <w:ind w:right="0"/>
        <w:jc w:val="left"/>
        <w:rPr>
          <w:rFonts w:ascii="Arial" w:hAnsi="Arial"/>
          <w:rtl w:val="0"/>
        </w:rPr>
      </w:pPr>
      <w:r>
        <w:rPr>
          <w:rStyle w:val="wacimagecontainer"/>
          <w:rFonts w:ascii="Arial" w:hAnsi="Arial"/>
          <w:rtl w:val="0"/>
        </w:rPr>
        <w:t>A</w:t>
      </w:r>
      <w:r>
        <w:rPr>
          <w:rFonts w:ascii="Arial" w:hAnsi="Arial" w:hint="default"/>
          <w:rtl w:val="0"/>
          <w:lang w:val="en-US"/>
        </w:rPr>
        <w:t> </w:t>
      </w:r>
      <w:r>
        <w:rPr>
          <w:rStyle w:val="wacimagecontainer"/>
          <w:rFonts w:ascii="Arial" w:hAnsi="Arial"/>
          <w:rtl w:val="0"/>
          <w:lang w:val="en-US"/>
        </w:rPr>
        <w:t>case study</w:t>
      </w:r>
      <w:r>
        <w:rPr>
          <w:rFonts w:ascii="Arial" w:hAnsi="Arial" w:hint="default"/>
          <w:rtl w:val="0"/>
          <w:lang w:val="en-US"/>
        </w:rPr>
        <w:t> </w:t>
      </w:r>
      <w:r>
        <w:rPr>
          <w:rStyle w:val="wacimagecontainer"/>
          <w:rFonts w:ascii="Arial" w:hAnsi="Arial"/>
          <w:rtl w:val="0"/>
          <w:lang w:val="en-US"/>
        </w:rPr>
        <w:t>highlighting this work is being prepared for sharing on the</w:t>
      </w:r>
      <w:r>
        <w:rPr>
          <w:rFonts w:ascii="Arial" w:hAnsi="Arial" w:hint="default"/>
          <w:rtl w:val="0"/>
          <w:lang w:val="en-US"/>
        </w:rPr>
        <w:t> </w:t>
      </w:r>
      <w:r>
        <w:rPr>
          <w:rStyle w:val="wacimagecontainer"/>
          <w:rFonts w:ascii="Arial" w:hAnsi="Arial"/>
          <w:rtl w:val="0"/>
          <w:lang w:val="en-US"/>
        </w:rPr>
        <w:t>Public Health Scotland national website.</w:t>
      </w:r>
    </w:p>
    <w:p>
      <w:pPr>
        <w:pStyle w:val="Body"/>
        <w:spacing w:after="0" w:line="240" w:lineRule="auto"/>
        <w:ind w:left="360" w:firstLine="0"/>
        <w:rPr>
          <w:rFonts w:ascii="Arial" w:cs="Arial" w:hAnsi="Arial" w:eastAsia="Arial"/>
          <w:b w:val="1"/>
          <w:bCs w:val="1"/>
        </w:rPr>
      </w:pPr>
    </w:p>
    <w:p>
      <w:pPr>
        <w:pStyle w:val="Body"/>
        <w:spacing w:after="0" w:line="240" w:lineRule="auto"/>
        <w:ind w:left="360" w:firstLine="0"/>
        <w:rPr>
          <w:rFonts w:ascii="Arial" w:cs="Arial" w:hAnsi="Arial" w:eastAsia="Arial"/>
          <w:b w:val="1"/>
          <w:bCs w:val="1"/>
          <w:u w:val="single"/>
        </w:rPr>
      </w:pPr>
      <w:r>
        <w:rPr>
          <w:rFonts w:ascii="Arial" w:hAnsi="Arial"/>
          <w:b w:val="1"/>
          <w:bCs w:val="1"/>
          <w:u w:val="single"/>
          <w:rtl w:val="0"/>
          <w:lang w:val="en-US"/>
        </w:rPr>
        <w:t>Community Wealth Building (CWB) in Dumfries and Galloway</w:t>
      </w:r>
    </w:p>
    <w:p>
      <w:pPr>
        <w:pStyle w:val="List Paragraph"/>
        <w:spacing w:after="0" w:line="240" w:lineRule="auto"/>
        <w:rPr>
          <w:rFonts w:ascii="Arial" w:cs="Arial" w:hAnsi="Arial" w:eastAsia="Arial"/>
          <w:b w:val="1"/>
          <w:bCs w:val="1"/>
        </w:rPr>
      </w:pPr>
    </w:p>
    <w:p>
      <w:pPr>
        <w:pStyle w:val="List Paragraph"/>
        <w:spacing w:after="0"/>
        <w:rPr>
          <w:rFonts w:ascii="Arial" w:cs="Arial" w:hAnsi="Arial" w:eastAsia="Arial"/>
        </w:rPr>
      </w:pPr>
      <w:r>
        <w:rPr>
          <w:rFonts w:ascii="Arial" w:hAnsi="Arial"/>
          <w:rtl w:val="0"/>
          <w:lang w:val="en-US"/>
        </w:rPr>
        <w:t>South of Scotland Enterprise (SoSE)</w:t>
      </w:r>
      <w:r>
        <w:rPr>
          <w:rFonts w:ascii="Arial" w:hAnsi="Arial" w:hint="default"/>
          <w:rtl w:val="0"/>
          <w:lang w:val="en-US"/>
        </w:rPr>
        <w:t> </w:t>
      </w:r>
      <w:r>
        <w:rPr>
          <w:rFonts w:ascii="Arial" w:hAnsi="Arial"/>
          <w:rtl w:val="0"/>
          <w:lang w:val="en-US"/>
        </w:rPr>
        <w:t>facilitated a series of</w:t>
      </w:r>
      <w:r>
        <w:rPr>
          <w:rFonts w:ascii="Arial" w:hAnsi="Arial" w:hint="default"/>
          <w:rtl w:val="0"/>
          <w:lang w:val="en-US"/>
        </w:rPr>
        <w:t> </w:t>
      </w:r>
      <w:r>
        <w:rPr>
          <w:rFonts w:ascii="Arial" w:hAnsi="Arial"/>
          <w:rtl w:val="0"/>
          <w:lang w:val="en-US"/>
        </w:rPr>
        <w:t>five workshops, each focused on one of the</w:t>
      </w:r>
      <w:r>
        <w:rPr>
          <w:rFonts w:ascii="Arial" w:hAnsi="Arial" w:hint="default"/>
          <w:rtl w:val="0"/>
          <w:lang w:val="en-US"/>
        </w:rPr>
        <w:t> </w:t>
      </w:r>
      <w:r>
        <w:rPr>
          <w:rFonts w:ascii="Arial" w:hAnsi="Arial"/>
          <w:rtl w:val="0"/>
          <w:lang w:val="en-US"/>
        </w:rPr>
        <w:t>five key pillars of Community Wealth Building (CWB). These sessions aimed to build a clearer picture of current CWB activity across the region and to support the development of a more</w:t>
      </w:r>
      <w:r>
        <w:rPr>
          <w:rFonts w:ascii="Arial" w:hAnsi="Arial" w:hint="default"/>
          <w:rtl w:val="0"/>
          <w:lang w:val="en-US"/>
        </w:rPr>
        <w:t> </w:t>
      </w:r>
      <w:r>
        <w:rPr>
          <w:rFonts w:ascii="Arial" w:hAnsi="Arial"/>
          <w:rtl w:val="0"/>
          <w:lang w:val="en-US"/>
        </w:rPr>
        <w:t>coordinated and strategic approach.</w:t>
      </w:r>
    </w:p>
    <w:p>
      <w:pPr>
        <w:pStyle w:val="List Paragraph"/>
        <w:spacing w:after="0" w:line="240" w:lineRule="auto"/>
        <w:rPr>
          <w:rFonts w:ascii="Arial" w:cs="Arial" w:hAnsi="Arial" w:eastAsia="Arial"/>
          <w:b w:val="1"/>
          <w:bCs w:val="1"/>
        </w:rPr>
      </w:pPr>
      <w:r>
        <w:rPr>
          <w:rFonts w:ascii="Arial" w:hAnsi="Arial"/>
          <w:b w:val="1"/>
          <w:bCs w:val="1"/>
          <w:rtl w:val="0"/>
          <w:lang w:val="en-US"/>
        </w:rPr>
        <w:t>Key Areas Explored:</w:t>
      </w:r>
    </w:p>
    <w:p>
      <w:pPr>
        <w:pStyle w:val="List Paragraph"/>
        <w:numPr>
          <w:ilvl w:val="0"/>
          <w:numId w:val="14"/>
        </w:numPr>
        <w:bidi w:val="0"/>
        <w:spacing w:after="0"/>
        <w:ind w:right="0"/>
        <w:jc w:val="left"/>
        <w:rPr>
          <w:rFonts w:ascii="Arial" w:hAnsi="Arial"/>
          <w:rtl w:val="0"/>
          <w:lang w:val="en-US"/>
        </w:rPr>
      </w:pPr>
      <w:r>
        <w:rPr>
          <w:rFonts w:ascii="Arial" w:hAnsi="Arial"/>
          <w:b w:val="1"/>
          <w:bCs w:val="1"/>
          <w:rtl w:val="0"/>
          <w:lang w:val="en-US"/>
        </w:rPr>
        <w:t>Fair Work</w:t>
      </w:r>
      <w:r>
        <w:rPr>
          <w:rStyle w:val="wacimagecontainer"/>
          <w:rFonts w:ascii="Arial" w:hAnsi="Arial"/>
          <w:rtl w:val="0"/>
          <w:lang w:val="en-US"/>
        </w:rPr>
        <w:t>: Exploring the future use and regional application of the</w:t>
      </w:r>
      <w:r>
        <w:rPr>
          <w:rStyle w:val="wacimagecontainer"/>
          <w:rFonts w:ascii="Arial" w:hAnsi="Arial" w:hint="default"/>
          <w:rtl w:val="0"/>
          <w:lang w:val="en-US"/>
        </w:rPr>
        <w:t> </w:t>
      </w:r>
      <w:r>
        <w:rPr>
          <w:rStyle w:val="wacimagecontainer"/>
          <w:rFonts w:ascii="Arial" w:hAnsi="Arial"/>
          <w:rtl w:val="0"/>
          <w:lang w:val="en-US"/>
        </w:rPr>
        <w:t>Fair Work assessment tool.</w:t>
      </w:r>
    </w:p>
    <w:p>
      <w:pPr>
        <w:pStyle w:val="List Paragraph"/>
        <w:numPr>
          <w:ilvl w:val="0"/>
          <w:numId w:val="14"/>
        </w:numPr>
        <w:bidi w:val="0"/>
        <w:spacing w:after="0"/>
        <w:ind w:right="0"/>
        <w:jc w:val="left"/>
        <w:rPr>
          <w:rFonts w:ascii="Arial" w:hAnsi="Arial"/>
          <w:rtl w:val="0"/>
          <w:lang w:val="en-US"/>
        </w:rPr>
      </w:pPr>
      <w:r>
        <w:rPr>
          <w:rFonts w:ascii="Arial" w:hAnsi="Arial"/>
          <w:b w:val="1"/>
          <w:bCs w:val="1"/>
          <w:rtl w:val="0"/>
          <w:lang w:val="en-US"/>
        </w:rPr>
        <w:t>Community Assets and Local Data</w:t>
      </w:r>
      <w:r>
        <w:rPr>
          <w:rStyle w:val="wacimagecontainer"/>
          <w:rFonts w:ascii="Arial" w:hAnsi="Arial"/>
          <w:rtl w:val="0"/>
          <w:lang w:val="en-US"/>
        </w:rPr>
        <w:t>: Reviewing data on</w:t>
      </w:r>
      <w:r>
        <w:rPr>
          <w:rStyle w:val="wacimagecontainer"/>
          <w:rFonts w:ascii="Arial" w:hAnsi="Arial" w:hint="default"/>
          <w:rtl w:val="0"/>
          <w:lang w:val="en-US"/>
        </w:rPr>
        <w:t> </w:t>
      </w:r>
      <w:r>
        <w:rPr>
          <w:rStyle w:val="wacimagecontainer"/>
          <w:rFonts w:ascii="Arial" w:hAnsi="Arial"/>
          <w:rtl w:val="0"/>
          <w:lang w:val="en-US"/>
        </w:rPr>
        <w:t>Community Asset Transfers,</w:t>
      </w:r>
      <w:r>
        <w:rPr>
          <w:rStyle w:val="wacimagecontainer"/>
          <w:rFonts w:ascii="Arial" w:hAnsi="Arial" w:hint="default"/>
          <w:rtl w:val="0"/>
          <w:lang w:val="en-US"/>
        </w:rPr>
        <w:t> </w:t>
      </w:r>
      <w:r>
        <w:rPr>
          <w:rStyle w:val="wacimagecontainer"/>
          <w:rFonts w:ascii="Arial" w:hAnsi="Arial"/>
          <w:rtl w:val="0"/>
          <w:lang w:val="en-US"/>
        </w:rPr>
        <w:t>Local Place Plans, and</w:t>
      </w:r>
      <w:r>
        <w:rPr>
          <w:rStyle w:val="wacimagecontainer"/>
          <w:rFonts w:ascii="Arial" w:hAnsi="Arial" w:hint="default"/>
          <w:rtl w:val="0"/>
          <w:lang w:val="en-US"/>
        </w:rPr>
        <w:t> </w:t>
      </w:r>
      <w:r>
        <w:rPr>
          <w:rStyle w:val="wacimagecontainer"/>
          <w:rFonts w:ascii="Arial" w:hAnsi="Arial"/>
          <w:rtl w:val="0"/>
          <w:lang w:val="en-US"/>
        </w:rPr>
        <w:t>Scottish Land Fund</w:t>
      </w:r>
      <w:r>
        <w:rPr>
          <w:rStyle w:val="wacimagecontainer"/>
          <w:rFonts w:ascii="Arial" w:hAnsi="Arial" w:hint="default"/>
          <w:rtl w:val="0"/>
          <w:lang w:val="en-US"/>
        </w:rPr>
        <w:t> </w:t>
      </w:r>
      <w:r>
        <w:rPr>
          <w:rStyle w:val="wacimagecontainer"/>
          <w:rFonts w:ascii="Arial" w:hAnsi="Arial"/>
          <w:rtl w:val="0"/>
          <w:lang w:val="en-US"/>
        </w:rPr>
        <w:t>grant awards to understand local trends and opportunities.</w:t>
      </w:r>
    </w:p>
    <w:p>
      <w:pPr>
        <w:pStyle w:val="List Paragraph"/>
        <w:numPr>
          <w:ilvl w:val="0"/>
          <w:numId w:val="14"/>
        </w:numPr>
        <w:bidi w:val="0"/>
        <w:spacing w:after="0"/>
        <w:ind w:right="0"/>
        <w:jc w:val="left"/>
        <w:rPr>
          <w:rFonts w:ascii="Arial" w:hAnsi="Arial"/>
          <w:rtl w:val="0"/>
          <w:lang w:val="en-US"/>
        </w:rPr>
      </w:pPr>
      <w:r>
        <w:rPr>
          <w:rFonts w:ascii="Arial" w:hAnsi="Arial"/>
          <w:b w:val="1"/>
          <w:bCs w:val="1"/>
          <w:rtl w:val="0"/>
          <w:lang w:val="en-US"/>
        </w:rPr>
        <w:t>Inclusive Ownership</w:t>
      </w:r>
      <w:r>
        <w:rPr>
          <w:rStyle w:val="wacimagecontainer"/>
          <w:rFonts w:ascii="Arial" w:hAnsi="Arial"/>
          <w:rtl w:val="0"/>
          <w:lang w:val="en-US"/>
        </w:rPr>
        <w:t>: Identifying partner priorities around inclusive economic models, including support for the</w:t>
      </w:r>
      <w:r>
        <w:rPr>
          <w:rStyle w:val="wacimagecontainer"/>
          <w:rFonts w:ascii="Arial" w:hAnsi="Arial" w:hint="default"/>
          <w:rtl w:val="0"/>
          <w:lang w:val="en-US"/>
        </w:rPr>
        <w:t> </w:t>
      </w:r>
      <w:r>
        <w:rPr>
          <w:rStyle w:val="wacimagecontainer"/>
          <w:rFonts w:ascii="Arial" w:hAnsi="Arial"/>
          <w:rtl w:val="0"/>
          <w:lang w:val="en-US"/>
        </w:rPr>
        <w:t>239 social enterprises</w:t>
      </w:r>
      <w:r>
        <w:rPr>
          <w:rStyle w:val="wacimagecontainer"/>
          <w:rFonts w:ascii="Arial" w:hAnsi="Arial" w:hint="default"/>
          <w:rtl w:val="0"/>
          <w:lang w:val="en-US"/>
        </w:rPr>
        <w:t> </w:t>
      </w:r>
      <w:r>
        <w:rPr>
          <w:rStyle w:val="wacimagecontainer"/>
          <w:rFonts w:ascii="Arial" w:hAnsi="Arial"/>
          <w:rtl w:val="0"/>
          <w:lang w:val="en-US"/>
        </w:rPr>
        <w:t>currently operating in the region.</w:t>
      </w:r>
    </w:p>
    <w:p>
      <w:pPr>
        <w:pStyle w:val="List Paragraph"/>
        <w:spacing w:after="0" w:line="240" w:lineRule="auto"/>
        <w:rPr>
          <w:rFonts w:ascii="Arial" w:cs="Arial" w:hAnsi="Arial" w:eastAsia="Arial"/>
          <w:b w:val="1"/>
          <w:bCs w:val="1"/>
        </w:rPr>
      </w:pPr>
    </w:p>
    <w:p>
      <w:pPr>
        <w:pStyle w:val="Body"/>
        <w:spacing w:after="0" w:line="240" w:lineRule="auto"/>
        <w:rPr>
          <w:rFonts w:ascii="Arial" w:cs="Arial" w:hAnsi="Arial" w:eastAsia="Arial"/>
          <w:b w:val="1"/>
          <w:bCs w:val="1"/>
        </w:rPr>
      </w:pPr>
      <w:r>
        <w:rPr>
          <w:rFonts w:ascii="Arial" w:hAnsi="Arial"/>
          <w:b w:val="1"/>
          <w:bCs w:val="1"/>
          <w:rtl w:val="0"/>
          <w:lang w:val="en-US"/>
        </w:rPr>
        <w:t>What</w:t>
      </w:r>
      <w:r>
        <w:rPr>
          <w:rFonts w:ascii="Arial" w:hAnsi="Arial" w:hint="default"/>
          <w:b w:val="1"/>
          <w:bCs w:val="1"/>
          <w:rtl w:val="0"/>
          <w:lang w:val="en-US"/>
        </w:rPr>
        <w:t>’</w:t>
      </w:r>
      <w:r>
        <w:rPr>
          <w:rFonts w:ascii="Arial" w:hAnsi="Arial"/>
          <w:b w:val="1"/>
          <w:bCs w:val="1"/>
          <w:rtl w:val="0"/>
          <w:lang w:val="en-US"/>
        </w:rPr>
        <w:t>s next?</w:t>
      </w:r>
    </w:p>
    <w:p>
      <w:pPr>
        <w:pStyle w:val="Body"/>
        <w:spacing w:after="0"/>
        <w:rPr>
          <w:rFonts w:ascii="Arial" w:cs="Arial" w:hAnsi="Arial" w:eastAsia="Arial"/>
        </w:rPr>
      </w:pPr>
      <w:r>
        <w:rPr>
          <w:rFonts w:ascii="Arial" w:hAnsi="Arial"/>
          <w:rtl w:val="0"/>
          <w:lang w:val="en-US"/>
        </w:rPr>
        <w:t>A key objective of this work was to</w:t>
      </w:r>
      <w:r>
        <w:rPr>
          <w:rFonts w:ascii="Arial" w:hAnsi="Arial" w:hint="default"/>
          <w:rtl w:val="0"/>
          <w:lang w:val="en-US"/>
        </w:rPr>
        <w:t> </w:t>
      </w:r>
      <w:r>
        <w:rPr>
          <w:rFonts w:ascii="Arial" w:hAnsi="Arial"/>
          <w:rtl w:val="0"/>
          <w:lang w:val="en-US"/>
        </w:rPr>
        <w:t xml:space="preserve">prepare for the formal introduction of the Community Wealth Building legislation, with the Community Wealth Building (Scotland) Bill being introduced on 20 March 2025 and is at </w:t>
      </w:r>
      <w:r>
        <w:rPr>
          <w:rFonts w:ascii="Arial" w:hAnsi="Arial" w:hint="default"/>
          <w:rtl w:val="0"/>
          <w:lang w:val="en-US"/>
        </w:rPr>
        <w:t>“</w:t>
      </w:r>
      <w:r>
        <w:rPr>
          <w:rFonts w:ascii="Arial" w:hAnsi="Arial"/>
          <w:rtl w:val="0"/>
          <w:lang w:val="da-DK"/>
        </w:rPr>
        <w:t>stage 1</w:t>
      </w:r>
      <w:r>
        <w:rPr>
          <w:rFonts w:ascii="Arial" w:hAnsi="Arial" w:hint="default"/>
          <w:rtl w:val="0"/>
          <w:lang w:val="en-US"/>
        </w:rPr>
        <w:t xml:space="preserve">” </w:t>
      </w:r>
      <w:r>
        <w:rPr>
          <w:rFonts w:ascii="Arial" w:hAnsi="Arial"/>
          <w:rtl w:val="0"/>
          <w:lang w:val="en-US"/>
        </w:rPr>
        <w:t>of the process of becoming an Act. The insights gathered through these workshops will inform future planning and action across the region.</w:t>
      </w:r>
    </w:p>
    <w:p>
      <w:pPr>
        <w:pStyle w:val="List Paragraph"/>
        <w:spacing w:after="0" w:line="240" w:lineRule="auto"/>
        <w:rPr>
          <w:rFonts w:ascii="Arial" w:cs="Arial" w:hAnsi="Arial" w:eastAsia="Arial"/>
        </w:rPr>
      </w:pPr>
    </w:p>
    <w:p>
      <w:pPr>
        <w:pStyle w:val="Body"/>
        <w:rPr>
          <w:rFonts w:ascii="Arial" w:cs="Arial" w:hAnsi="Arial" w:eastAsia="Arial"/>
          <w:b w:val="1"/>
          <w:bCs w:val="1"/>
          <w:u w:val="single"/>
        </w:rPr>
      </w:pPr>
    </w:p>
    <w:p>
      <w:pPr>
        <w:pStyle w:val="Body"/>
        <w:rPr>
          <w:rFonts w:ascii="Arial" w:cs="Arial" w:hAnsi="Arial" w:eastAsia="Arial"/>
          <w:b w:val="1"/>
          <w:bCs w:val="1"/>
          <w:u w:val="single"/>
        </w:rPr>
      </w:pPr>
    </w:p>
    <w:p>
      <w:pPr>
        <w:pStyle w:val="Body"/>
        <w:rPr>
          <w:rFonts w:ascii="Arial" w:cs="Arial" w:hAnsi="Arial" w:eastAsia="Arial"/>
          <w:b w:val="1"/>
          <w:bCs w:val="1"/>
          <w:u w:val="single"/>
        </w:rPr>
      </w:pPr>
    </w:p>
    <w:p>
      <w:pPr>
        <w:pStyle w:val="Body"/>
        <w:rPr>
          <w:rFonts w:ascii="Arial" w:cs="Arial" w:hAnsi="Arial" w:eastAsia="Arial"/>
          <w:b w:val="1"/>
          <w:bCs w:val="1"/>
          <w:u w:val="single"/>
        </w:rPr>
      </w:pPr>
    </w:p>
    <w:p>
      <w:pPr>
        <w:pStyle w:val="Body"/>
        <w:rPr>
          <w:rFonts w:ascii="Arial" w:cs="Arial" w:hAnsi="Arial" w:eastAsia="Arial"/>
          <w:b w:val="1"/>
          <w:bCs w:val="1"/>
          <w:u w:val="single"/>
        </w:rPr>
      </w:pPr>
      <w:r>
        <w:rPr>
          <w:rFonts w:ascii="Arial" w:hAnsi="Arial"/>
          <w:b w:val="1"/>
          <w:bCs w:val="1"/>
          <w:u w:val="single"/>
          <w:rtl w:val="0"/>
          <w:lang w:val="en-US"/>
        </w:rPr>
        <w:t>Tobacco and Vaping: Youth Concerns and Local Action</w:t>
      </w:r>
    </w:p>
    <w:p>
      <w:pPr>
        <w:pStyle w:val="Body"/>
        <w:rPr>
          <w:rFonts w:ascii="Arial" w:cs="Arial" w:hAnsi="Arial" w:eastAsia="Arial"/>
        </w:rPr>
      </w:pPr>
      <w:r>
        <w:rPr>
          <w:rFonts w:ascii="Arial" w:hAnsi="Arial"/>
          <w:rtl w:val="0"/>
          <w:lang w:val="en-US"/>
        </w:rPr>
        <w:t>In 2023, the</w:t>
      </w:r>
      <w:r>
        <w:rPr>
          <w:rFonts w:ascii="Arial" w:hAnsi="Arial" w:hint="default"/>
          <w:rtl w:val="0"/>
          <w:lang w:val="en-US"/>
        </w:rPr>
        <w:t> </w:t>
      </w:r>
      <w:r>
        <w:rPr>
          <w:rFonts w:ascii="Arial" w:hAnsi="Arial"/>
          <w:rtl w:val="0"/>
          <w:lang w:val="en-US"/>
        </w:rPr>
        <w:t>10,000 Voices consultation with young people, led by the Council</w:t>
      </w:r>
      <w:r>
        <w:rPr>
          <w:rFonts w:ascii="Arial" w:hAnsi="Arial" w:hint="default"/>
          <w:rtl w:val="0"/>
          <w:lang w:val="en-US"/>
        </w:rPr>
        <w:t>’</w:t>
      </w:r>
      <w:r>
        <w:rPr>
          <w:rFonts w:ascii="Arial" w:hAnsi="Arial"/>
          <w:rtl w:val="0"/>
          <w:lang w:val="en-US"/>
        </w:rPr>
        <w:t>s Youth Work team, identified</w:t>
      </w:r>
      <w:r>
        <w:rPr>
          <w:rFonts w:ascii="Arial" w:hAnsi="Arial" w:hint="default"/>
          <w:rtl w:val="0"/>
          <w:lang w:val="en-US"/>
        </w:rPr>
        <w:t> </w:t>
      </w:r>
      <w:r>
        <w:rPr>
          <w:rFonts w:ascii="Arial" w:hAnsi="Arial"/>
          <w:rtl w:val="0"/>
          <w:lang w:val="en-US"/>
        </w:rPr>
        <w:t>tobacco and vaping</w:t>
      </w:r>
      <w:r>
        <w:rPr>
          <w:rFonts w:ascii="Arial" w:hAnsi="Arial" w:hint="default"/>
          <w:rtl w:val="0"/>
          <w:lang w:val="en-US"/>
        </w:rPr>
        <w:t> </w:t>
      </w:r>
      <w:r>
        <w:rPr>
          <w:rFonts w:ascii="Arial" w:hAnsi="Arial"/>
          <w:rtl w:val="0"/>
          <w:lang w:val="en-US"/>
        </w:rPr>
        <w:t>as the</w:t>
      </w:r>
      <w:r>
        <w:rPr>
          <w:rFonts w:ascii="Arial" w:hAnsi="Arial" w:hint="default"/>
          <w:rtl w:val="0"/>
          <w:lang w:val="en-US"/>
        </w:rPr>
        <w:t> </w:t>
      </w:r>
      <w:r>
        <w:rPr>
          <w:rFonts w:ascii="Arial" w:hAnsi="Arial"/>
          <w:rtl w:val="0"/>
          <w:lang w:val="en-US"/>
        </w:rPr>
        <w:t>top priority issue</w:t>
      </w:r>
      <w:r>
        <w:rPr>
          <w:rFonts w:ascii="Arial" w:hAnsi="Arial" w:hint="default"/>
          <w:rtl w:val="0"/>
          <w:lang w:val="en-US"/>
        </w:rPr>
        <w:t> </w:t>
      </w:r>
      <w:r>
        <w:rPr>
          <w:rFonts w:ascii="Arial" w:hAnsi="Arial"/>
          <w:rtl w:val="0"/>
          <w:lang w:val="en-US"/>
        </w:rPr>
        <w:t>facing young people in Dumfries and Galloway.</w:t>
      </w:r>
    </w:p>
    <w:p>
      <w:pPr>
        <w:pStyle w:val="Body"/>
        <w:rPr>
          <w:rFonts w:ascii="Arial" w:cs="Arial" w:hAnsi="Arial" w:eastAsia="Arial"/>
        </w:rPr>
      </w:pPr>
      <w:r>
        <w:rPr>
          <w:rFonts w:ascii="Arial" w:hAnsi="Arial"/>
          <w:rtl w:val="0"/>
          <w:lang w:val="en-US"/>
        </w:rPr>
        <w:t>At the</w:t>
      </w:r>
      <w:r>
        <w:rPr>
          <w:rFonts w:ascii="Arial" w:hAnsi="Arial" w:hint="default"/>
          <w:rtl w:val="0"/>
          <w:lang w:val="en-US"/>
        </w:rPr>
        <w:t> </w:t>
      </w:r>
      <w:r>
        <w:rPr>
          <w:rFonts w:ascii="Arial" w:hAnsi="Arial"/>
          <w:rtl w:val="0"/>
          <w:lang w:val="en-US"/>
        </w:rPr>
        <w:t>joint Community Planning Partnership Board (CPPB) meeting</w:t>
      </w:r>
      <w:r>
        <w:rPr>
          <w:rFonts w:ascii="Arial" w:hAnsi="Arial" w:hint="default"/>
          <w:rtl w:val="0"/>
          <w:lang w:val="en-US"/>
        </w:rPr>
        <w:t> </w:t>
      </w:r>
      <w:r>
        <w:rPr>
          <w:rFonts w:ascii="Arial" w:hAnsi="Arial"/>
          <w:rtl w:val="0"/>
          <w:lang w:val="en-US"/>
        </w:rPr>
        <w:t>with the</w:t>
      </w:r>
      <w:r>
        <w:rPr>
          <w:rFonts w:ascii="Arial" w:hAnsi="Arial" w:hint="default"/>
          <w:rtl w:val="0"/>
          <w:lang w:val="en-US"/>
        </w:rPr>
        <w:t> </w:t>
      </w:r>
      <w:r>
        <w:rPr>
          <w:rFonts w:ascii="Arial" w:hAnsi="Arial"/>
          <w:rtl w:val="0"/>
          <w:lang w:val="en-US"/>
        </w:rPr>
        <w:t>Dumfries and Galloway Youth Council</w:t>
      </w:r>
      <w:r>
        <w:rPr>
          <w:rFonts w:ascii="Arial" w:hAnsi="Arial" w:hint="default"/>
          <w:rtl w:val="0"/>
          <w:lang w:val="en-US"/>
        </w:rPr>
        <w:t> </w:t>
      </w:r>
      <w:r>
        <w:rPr>
          <w:rFonts w:ascii="Arial" w:hAnsi="Arial"/>
          <w:rtl w:val="0"/>
          <w:lang w:val="en-US"/>
        </w:rPr>
        <w:t>in September 2024, it was agreed to:</w:t>
      </w:r>
    </w:p>
    <w:p>
      <w:pPr>
        <w:pStyle w:val="Body"/>
        <w:numPr>
          <w:ilvl w:val="0"/>
          <w:numId w:val="16"/>
        </w:numPr>
        <w:bidi w:val="0"/>
        <w:ind w:right="0"/>
        <w:jc w:val="left"/>
        <w:rPr>
          <w:rFonts w:ascii="Arial" w:hAnsi="Arial"/>
          <w:rtl w:val="0"/>
          <w:lang w:val="en-US"/>
        </w:rPr>
      </w:pPr>
      <w:r>
        <w:rPr>
          <w:rStyle w:val="wacimagecontainer"/>
          <w:rFonts w:ascii="Arial" w:hAnsi="Arial"/>
          <w:rtl w:val="0"/>
          <w:lang w:val="en-US"/>
        </w:rPr>
        <w:t>Develop a local position statement</w:t>
      </w:r>
      <w:r>
        <w:rPr>
          <w:rFonts w:ascii="Arial" w:hAnsi="Arial" w:hint="default"/>
          <w:rtl w:val="0"/>
          <w:lang w:val="en-US"/>
        </w:rPr>
        <w:t> </w:t>
      </w:r>
      <w:r>
        <w:rPr>
          <w:rStyle w:val="wacimagecontainer"/>
          <w:rFonts w:ascii="Arial" w:hAnsi="Arial"/>
          <w:rtl w:val="0"/>
          <w:lang w:val="en-US"/>
        </w:rPr>
        <w:t>on tobacco and vaping</w:t>
      </w:r>
    </w:p>
    <w:p>
      <w:pPr>
        <w:pStyle w:val="Body"/>
        <w:numPr>
          <w:ilvl w:val="0"/>
          <w:numId w:val="16"/>
        </w:numPr>
        <w:bidi w:val="0"/>
        <w:ind w:right="0"/>
        <w:jc w:val="left"/>
        <w:rPr>
          <w:rFonts w:ascii="Arial" w:hAnsi="Arial"/>
          <w:rtl w:val="0"/>
          <w:lang w:val="en-US"/>
        </w:rPr>
      </w:pPr>
      <w:r>
        <w:rPr>
          <w:rStyle w:val="wacimagecontainer"/>
          <w:rFonts w:ascii="Arial" w:hAnsi="Arial"/>
          <w:rtl w:val="0"/>
          <w:lang w:val="en-US"/>
        </w:rPr>
        <w:t>Send formal letters</w:t>
      </w:r>
      <w:r>
        <w:rPr>
          <w:rFonts w:ascii="Arial" w:hAnsi="Arial" w:hint="default"/>
          <w:rtl w:val="0"/>
          <w:lang w:val="en-US"/>
        </w:rPr>
        <w:t> </w:t>
      </w:r>
      <w:r>
        <w:rPr>
          <w:rStyle w:val="wacimagecontainer"/>
          <w:rFonts w:ascii="Arial" w:hAnsi="Arial"/>
          <w:rtl w:val="0"/>
          <w:lang w:val="en-US"/>
        </w:rPr>
        <w:t>to both the UK and Scottish Governments expressing concern about the growing impact of vaping on young people</w:t>
      </w:r>
    </w:p>
    <w:p>
      <w:pPr>
        <w:pStyle w:val="Body"/>
        <w:ind w:left="720" w:firstLine="0"/>
        <w:rPr>
          <w:rFonts w:ascii="Arial" w:cs="Arial" w:hAnsi="Arial" w:eastAsia="Arial"/>
        </w:rPr>
      </w:pPr>
      <w:r>
        <w:rPr>
          <w:rStyle w:val="Hyperlink.0"/>
        </w:rPr>
        <w:fldChar w:fldCharType="begin" w:fldLock="0"/>
      </w:r>
      <w:r>
        <w:rPr>
          <w:rStyle w:val="Hyperlink.0"/>
        </w:rPr>
        <w:instrText xml:space="preserve"> HYPERLINK "https://communityplanning.dumfriesandgalloway.gov.uk/sites/default/files/7726996/2025-04/Board%2520Papers%2520-%2520Community%2520Planning%2520Partnership%2520Board%2520-%252013%2520September%25202024.pdf"</w:instrText>
      </w:r>
      <w:r>
        <w:rPr>
          <w:rStyle w:val="Hyperlink.0"/>
        </w:rPr>
        <w:fldChar w:fldCharType="separate" w:fldLock="0"/>
      </w:r>
      <w:r>
        <w:rPr>
          <w:rStyle w:val="Hyperlink.0"/>
          <w:rtl w:val="0"/>
          <w:lang w:val="en-US"/>
        </w:rPr>
        <w:t>Board Papers - Community Planning Partnership Board - 13 September 2024.pdf</w:t>
      </w:r>
      <w:r>
        <w:rPr/>
        <w:fldChar w:fldCharType="end" w:fldLock="0"/>
      </w:r>
    </w:p>
    <w:p>
      <w:pPr>
        <w:pStyle w:val="Body"/>
        <w:rPr>
          <w:rFonts w:ascii="Arial" w:cs="Arial" w:hAnsi="Arial" w:eastAsia="Arial"/>
        </w:rPr>
      </w:pPr>
      <w:r>
        <w:rPr>
          <w:rFonts w:ascii="Arial" w:hAnsi="Arial"/>
          <w:rtl w:val="0"/>
          <w:lang w:val="en-US"/>
        </w:rPr>
        <w:t>This action helped raise the profile of the issue locally and nationally. A</w:t>
      </w:r>
      <w:r>
        <w:rPr>
          <w:rFonts w:ascii="Arial" w:hAnsi="Arial" w:hint="default"/>
          <w:rtl w:val="0"/>
          <w:lang w:val="en-US"/>
        </w:rPr>
        <w:t> </w:t>
      </w:r>
      <w:r>
        <w:rPr>
          <w:rFonts w:ascii="Arial" w:hAnsi="Arial"/>
          <w:rtl w:val="0"/>
          <w:lang w:val="en-US"/>
        </w:rPr>
        <w:t>supportive response</w:t>
      </w:r>
      <w:r>
        <w:rPr>
          <w:rFonts w:ascii="Arial" w:hAnsi="Arial" w:hint="default"/>
          <w:rtl w:val="0"/>
          <w:lang w:val="en-US"/>
        </w:rPr>
        <w:t> </w:t>
      </w:r>
      <w:r>
        <w:rPr>
          <w:rFonts w:ascii="Arial" w:hAnsi="Arial"/>
          <w:rtl w:val="0"/>
          <w:lang w:val="en-US"/>
        </w:rPr>
        <w:t>was received from</w:t>
      </w:r>
      <w:r>
        <w:rPr>
          <w:rFonts w:ascii="Arial" w:hAnsi="Arial" w:hint="default"/>
          <w:rtl w:val="0"/>
          <w:lang w:val="en-US"/>
        </w:rPr>
        <w:t> </w:t>
      </w:r>
      <w:r>
        <w:rPr>
          <w:rFonts w:ascii="Arial" w:hAnsi="Arial"/>
          <w:rtl w:val="0"/>
          <w:lang w:val="en-US"/>
        </w:rPr>
        <w:t>Jenni Minto, Scottish Minister for Public Health and Women</w:t>
      </w:r>
      <w:r>
        <w:rPr>
          <w:rFonts w:ascii="Arial" w:hAnsi="Arial" w:hint="default"/>
          <w:rtl w:val="0"/>
          <w:lang w:val="en-US"/>
        </w:rPr>
        <w:t>’</w:t>
      </w:r>
      <w:r>
        <w:rPr>
          <w:rFonts w:ascii="Arial" w:hAnsi="Arial"/>
          <w:rtl w:val="0"/>
          <w:lang w:val="en-US"/>
        </w:rPr>
        <w:t>s Health, acknowledging the concerns raised.</w:t>
      </w:r>
    </w:p>
    <w:p>
      <w:pPr>
        <w:pStyle w:val="Body"/>
        <w:rPr>
          <w:rFonts w:ascii="Arial" w:cs="Arial" w:hAnsi="Arial" w:eastAsia="Arial"/>
          <w:outline w:val="0"/>
          <w:color w:val="0000ff"/>
          <w:u w:val="single" w:color="0000ff"/>
          <w14:textFill>
            <w14:solidFill>
              <w14:srgbClr w14:val="0000FF"/>
            </w14:solidFill>
          </w14:textFill>
        </w:rPr>
      </w:pPr>
      <w:r>
        <w:rPr>
          <w:rFonts w:ascii="Arial" w:hAnsi="Arial"/>
          <w:rtl w:val="0"/>
          <w:lang w:val="fr-FR"/>
        </w:rPr>
        <w:t>To support frontline engagement, a</w:t>
      </w:r>
      <w:r>
        <w:rPr>
          <w:rFonts w:ascii="Arial" w:hAnsi="Arial" w:hint="default"/>
          <w:rtl w:val="0"/>
          <w:lang w:val="en-US"/>
        </w:rPr>
        <w:t> </w:t>
      </w:r>
      <w:r>
        <w:rPr>
          <w:rFonts w:ascii="Arial" w:hAnsi="Arial"/>
          <w:rtl w:val="0"/>
          <w:lang w:val="en-US"/>
        </w:rPr>
        <w:t>training and awareness package</w:t>
      </w:r>
      <w:r>
        <w:rPr>
          <w:rFonts w:ascii="Arial" w:hAnsi="Arial" w:hint="default"/>
          <w:rtl w:val="0"/>
          <w:lang w:val="en-US"/>
        </w:rPr>
        <w:t> </w:t>
      </w:r>
      <w:r>
        <w:rPr>
          <w:rFonts w:ascii="Arial" w:hAnsi="Arial"/>
          <w:rtl w:val="0"/>
          <w:lang w:val="en-US"/>
        </w:rPr>
        <w:t xml:space="preserve">has also been developed to help practitioners have informed, supportive conversations with young people about tobacco and vaping. This is available to access here: </w:t>
      </w:r>
      <w:r>
        <w:rPr>
          <w:rStyle w:val="Hyperlink.0"/>
        </w:rPr>
        <w:fldChar w:fldCharType="begin" w:fldLock="0"/>
      </w:r>
      <w:r>
        <w:rPr>
          <w:rStyle w:val="Hyperlink.0"/>
        </w:rPr>
        <w:instrText xml:space="preserve"> HYPERLINK "https://youtu.be/aO_7GDXPy8A"</w:instrText>
      </w:r>
      <w:r>
        <w:rPr>
          <w:rStyle w:val="Hyperlink.0"/>
        </w:rPr>
        <w:fldChar w:fldCharType="separate" w:fldLock="0"/>
      </w:r>
      <w:r>
        <w:rPr>
          <w:rStyle w:val="Hyperlink.0"/>
          <w:rtl w:val="0"/>
        </w:rPr>
        <w:t>https://youtu.be/aO_7GDXPy8A</w:t>
      </w:r>
      <w:r>
        <w:rPr/>
        <w:fldChar w:fldCharType="end" w:fldLock="0"/>
      </w:r>
    </w:p>
    <w:p>
      <w:pPr>
        <w:pStyle w:val="Body"/>
        <w:rPr>
          <w:rFonts w:ascii="Arial" w:cs="Arial" w:hAnsi="Arial" w:eastAsia="Arial"/>
          <w:outline w:val="0"/>
          <w:color w:val="0000ff"/>
          <w:u w:val="single" w:color="0000ff"/>
          <w14:textFill>
            <w14:solidFill>
              <w14:srgbClr w14:val="0000FF"/>
            </w14:solidFill>
          </w14:textFill>
        </w:rPr>
      </w:pPr>
    </w:p>
    <w:p>
      <w:pPr>
        <w:pStyle w:val="Body"/>
        <w:rPr>
          <w:rFonts w:ascii="Arial" w:cs="Arial" w:hAnsi="Arial" w:eastAsia="Arial"/>
          <w:u w:val="single"/>
        </w:rPr>
      </w:pPr>
    </w:p>
    <w:p>
      <w:pPr>
        <w:pStyle w:val="Body"/>
        <w:rPr>
          <w:rFonts w:ascii="Arial" w:cs="Arial" w:hAnsi="Arial" w:eastAsia="Arial"/>
          <w:u w:val="single"/>
        </w:rPr>
      </w:pPr>
    </w:p>
    <w:p>
      <w:pPr>
        <w:pStyle w:val="Body"/>
        <w:rPr>
          <w:rFonts w:ascii="Arial" w:cs="Arial" w:hAnsi="Arial" w:eastAsia="Arial"/>
          <w:u w:val="single"/>
        </w:rPr>
      </w:pPr>
    </w:p>
    <w:p>
      <w:pPr>
        <w:pStyle w:val="Body"/>
        <w:rPr>
          <w:rFonts w:ascii="Arial" w:cs="Arial" w:hAnsi="Arial" w:eastAsia="Arial"/>
          <w:u w:val="single"/>
        </w:rPr>
      </w:pPr>
    </w:p>
    <w:p>
      <w:pPr>
        <w:pStyle w:val="Body"/>
        <w:rPr>
          <w:rFonts w:ascii="Arial" w:cs="Arial" w:hAnsi="Arial" w:eastAsia="Arial"/>
          <w:u w:val="single"/>
        </w:rPr>
      </w:pPr>
    </w:p>
    <w:p>
      <w:pPr>
        <w:pStyle w:val="Body"/>
        <w:rPr>
          <w:rFonts w:ascii="Arial" w:cs="Arial" w:hAnsi="Arial" w:eastAsia="Arial"/>
          <w:u w:val="single"/>
        </w:rPr>
      </w:pPr>
    </w:p>
    <w:p>
      <w:pPr>
        <w:pStyle w:val="Body"/>
        <w:rPr>
          <w:rFonts w:ascii="Arial" w:cs="Arial" w:hAnsi="Arial" w:eastAsia="Arial"/>
          <w:b w:val="1"/>
          <w:bCs w:val="1"/>
          <w:u w:val="single"/>
        </w:rPr>
      </w:pPr>
      <w:r>
        <w:rPr>
          <w:rFonts w:ascii="Arial" w:hAnsi="Arial"/>
          <w:b w:val="1"/>
          <w:bCs w:val="1"/>
          <w:u w:val="single"/>
          <w:rtl w:val="0"/>
          <w:lang w:val="en-US"/>
        </w:rPr>
        <w:t>Locality Plan Development</w:t>
      </w:r>
    </w:p>
    <w:p>
      <w:pPr>
        <w:pStyle w:val="Body"/>
        <w:rPr>
          <w:rFonts w:ascii="Arial" w:cs="Arial" w:hAnsi="Arial" w:eastAsia="Arial"/>
        </w:rPr>
      </w:pPr>
      <w:r>
        <w:rPr>
          <w:rFonts w:ascii="Arial" w:hAnsi="Arial"/>
          <w:rtl w:val="0"/>
          <w:lang w:val="en-US"/>
        </w:rPr>
        <w:t>Following the</w:t>
      </w:r>
      <w:r>
        <w:rPr>
          <w:rFonts w:ascii="Arial" w:hAnsi="Arial" w:hint="default"/>
          <w:rtl w:val="0"/>
          <w:lang w:val="en-US"/>
        </w:rPr>
        <w:t> </w:t>
      </w:r>
      <w:r>
        <w:rPr>
          <w:rFonts w:ascii="Arial" w:hAnsi="Arial"/>
          <w:rtl w:val="0"/>
          <w:lang w:val="en-US"/>
        </w:rPr>
        <w:t>2023 review of Community Planning, a new approach was agreed to better target areas of need across Dumfries and Galloway. In collaboration with</w:t>
      </w:r>
      <w:r>
        <w:rPr>
          <w:rFonts w:ascii="Arial" w:hAnsi="Arial" w:hint="default"/>
          <w:rtl w:val="0"/>
          <w:lang w:val="en-US"/>
        </w:rPr>
        <w:t> </w:t>
      </w:r>
      <w:r>
        <w:rPr>
          <w:rFonts w:ascii="Arial" w:hAnsi="Arial"/>
          <w:rtl w:val="0"/>
          <w:lang w:val="en-US"/>
        </w:rPr>
        <w:t>Public Health Scotland, data was analysed to identify communities experiencing the highest levels of deprivation.</w:t>
      </w:r>
    </w:p>
    <w:p>
      <w:pPr>
        <w:pStyle w:val="Body"/>
        <w:rPr>
          <w:rFonts w:ascii="Arial" w:cs="Arial" w:hAnsi="Arial" w:eastAsia="Arial"/>
        </w:rPr>
      </w:pPr>
      <w:r>
        <w:rPr>
          <w:rStyle w:val="wacimagecontainer"/>
        </w:rPr>
        <w:drawing xmlns:a="http://schemas.openxmlformats.org/drawingml/2006/main">
          <wp:anchor distT="57150" distB="57150" distL="57150" distR="57150" simplePos="0" relativeHeight="251660288" behindDoc="0" locked="0" layoutInCell="1" allowOverlap="1">
            <wp:simplePos x="0" y="0"/>
            <wp:positionH relativeFrom="page">
              <wp:posOffset>914400</wp:posOffset>
            </wp:positionH>
            <wp:positionV relativeFrom="line">
              <wp:posOffset>6350</wp:posOffset>
            </wp:positionV>
            <wp:extent cx="2768600" cy="1320800"/>
            <wp:effectExtent l="0" t="0" r="0" b="0"/>
            <wp:wrapSquare wrapText="bothSides" distL="57150" distR="57150" distT="57150" distB="57150"/>
            <wp:docPr id="1073741828" name="officeArt object" descr="A map of a route&#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28" name="A map of a routeAI-generated content may be incorrect." descr="A map of a routeAI-generated content may be incorrect."/>
                    <pic:cNvPicPr>
                      <a:picLocks noChangeAspect="1"/>
                    </pic:cNvPicPr>
                  </pic:nvPicPr>
                  <pic:blipFill>
                    <a:blip r:embed="rId4">
                      <a:extLst/>
                    </a:blip>
                    <a:stretch>
                      <a:fillRect/>
                    </a:stretch>
                  </pic:blipFill>
                  <pic:spPr>
                    <a:xfrm>
                      <a:off x="0" y="0"/>
                      <a:ext cx="2768600" cy="1320800"/>
                    </a:xfrm>
                    <a:prstGeom prst="rect">
                      <a:avLst/>
                    </a:prstGeom>
                    <a:ln w="12700" cap="flat">
                      <a:noFill/>
                      <a:miter lim="400000"/>
                    </a:ln>
                    <a:effectLst/>
                  </pic:spPr>
                </pic:pic>
              </a:graphicData>
            </a:graphic>
          </wp:anchor>
        </w:drawing>
      </w:r>
      <w:r>
        <w:rPr>
          <w:rFonts w:ascii="Arial" w:hAnsi="Arial"/>
          <w:rtl w:val="0"/>
          <w:lang w:val="en-US"/>
        </w:rPr>
        <w:t>As a result, the</w:t>
      </w:r>
      <w:r>
        <w:rPr>
          <w:rFonts w:ascii="Arial" w:hAnsi="Arial" w:hint="default"/>
          <w:rtl w:val="0"/>
          <w:lang w:val="en-US"/>
        </w:rPr>
        <w:t> </w:t>
      </w:r>
      <w:r>
        <w:rPr>
          <w:rFonts w:ascii="Arial" w:hAnsi="Arial"/>
          <w:rtl w:val="0"/>
          <w:lang w:val="en-US"/>
        </w:rPr>
        <w:t>Community Planning Partnership Board</w:t>
      </w:r>
      <w:r>
        <w:rPr>
          <w:rFonts w:ascii="Arial" w:hAnsi="Arial" w:hint="default"/>
          <w:rtl w:val="0"/>
          <w:lang w:val="en-US"/>
        </w:rPr>
        <w:t> </w:t>
      </w:r>
      <w:r>
        <w:rPr>
          <w:rFonts w:ascii="Arial" w:hAnsi="Arial"/>
          <w:rtl w:val="0"/>
          <w:lang w:val="en-US"/>
        </w:rPr>
        <w:t>approved the development of a</w:t>
      </w:r>
      <w:r>
        <w:rPr>
          <w:rFonts w:ascii="Arial" w:hAnsi="Arial" w:hint="default"/>
          <w:rtl w:val="0"/>
          <w:lang w:val="en-US"/>
        </w:rPr>
        <w:t> </w:t>
      </w:r>
      <w:r>
        <w:rPr>
          <w:rFonts w:ascii="Arial" w:hAnsi="Arial"/>
          <w:rtl w:val="0"/>
          <w:lang w:val="en-US"/>
        </w:rPr>
        <w:t>pilot Locality Plan</w:t>
      </w:r>
      <w:r>
        <w:rPr>
          <w:rFonts w:ascii="Arial" w:hAnsi="Arial" w:hint="default"/>
          <w:rtl w:val="0"/>
          <w:lang w:val="en-US"/>
        </w:rPr>
        <w:t> </w:t>
      </w:r>
      <w:r>
        <w:rPr>
          <w:rFonts w:ascii="Arial" w:hAnsi="Arial"/>
          <w:rtl w:val="0"/>
          <w:lang w:val="en-US"/>
        </w:rPr>
        <w:t>for the</w:t>
      </w:r>
      <w:r>
        <w:rPr>
          <w:rFonts w:ascii="Arial" w:hAnsi="Arial" w:hint="default"/>
          <w:rtl w:val="0"/>
          <w:lang w:val="en-US"/>
        </w:rPr>
        <w:t> </w:t>
      </w:r>
      <w:r>
        <w:rPr>
          <w:rFonts w:ascii="Arial" w:hAnsi="Arial"/>
          <w:rtl w:val="0"/>
          <w:lang w:val="en-US"/>
        </w:rPr>
        <w:t>Kirkconnel and Kelloholm</w:t>
      </w:r>
      <w:r>
        <w:rPr>
          <w:rFonts w:ascii="Arial" w:hAnsi="Arial" w:hint="default"/>
          <w:rtl w:val="0"/>
          <w:lang w:val="en-US"/>
        </w:rPr>
        <w:t> </w:t>
      </w:r>
      <w:r>
        <w:rPr>
          <w:rFonts w:ascii="Arial" w:hAnsi="Arial"/>
          <w:rtl w:val="0"/>
          <w:lang w:val="en-US"/>
        </w:rPr>
        <w:t>area. This plan will focus on</w:t>
      </w:r>
      <w:r>
        <w:rPr>
          <w:rFonts w:ascii="Arial" w:hAnsi="Arial" w:hint="default"/>
          <w:rtl w:val="0"/>
          <w:lang w:val="en-US"/>
        </w:rPr>
        <w:t> </w:t>
      </w:r>
      <w:r>
        <w:rPr>
          <w:rFonts w:ascii="Arial" w:hAnsi="Arial"/>
          <w:rtl w:val="0"/>
          <w:lang w:val="en-US"/>
        </w:rPr>
        <w:t>tackling inequalities</w:t>
      </w:r>
      <w:r>
        <w:rPr>
          <w:rFonts w:ascii="Arial" w:hAnsi="Arial" w:hint="default"/>
          <w:rtl w:val="0"/>
          <w:lang w:val="en-US"/>
        </w:rPr>
        <w:t> </w:t>
      </w:r>
      <w:r>
        <w:rPr>
          <w:rFonts w:ascii="Arial" w:hAnsi="Arial"/>
          <w:rtl w:val="0"/>
          <w:lang w:val="en-US"/>
        </w:rPr>
        <w:t>through targeted actions across key priority areas, ensuring a place-based approach that reflects local needs and aspirations.</w:t>
      </w:r>
    </w:p>
    <w:p>
      <w:pPr>
        <w:pStyle w:val="List Paragraph"/>
        <w:rPr>
          <w:rFonts w:ascii="Arial" w:cs="Arial" w:hAnsi="Arial" w:eastAsia="Arial"/>
        </w:rPr>
      </w:pPr>
      <w:r>
        <w:rPr>
          <w:rFonts w:ascii="Arial" w:hAnsi="Arial"/>
          <w:rtl w:val="0"/>
          <w:lang w:val="en-US"/>
        </w:rPr>
        <w:t>Priorities were focused around the key themes outlined in our Community Planning Poverty and Inequalities Strategy:</w:t>
      </w:r>
    </w:p>
    <w:p>
      <w:pPr>
        <w:pStyle w:val="List Paragraph"/>
        <w:rPr>
          <w:rFonts w:ascii="Arial" w:cs="Arial" w:hAnsi="Arial" w:eastAsia="Arial"/>
        </w:rPr>
      </w:pPr>
    </w:p>
    <w:p>
      <w:pPr>
        <w:pStyle w:val="List Paragraph"/>
        <w:rPr>
          <w:rFonts w:ascii="Arial" w:cs="Arial" w:hAnsi="Arial" w:eastAsia="Arial"/>
        </w:rPr>
      </w:pPr>
    </w:p>
    <w:tbl>
      <w:tblPr>
        <w:tblW w:w="1360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1d7"/>
        <w:tblLayout w:type="fixed"/>
      </w:tblPr>
      <w:tblGrid>
        <w:gridCol w:w="7088"/>
        <w:gridCol w:w="6520"/>
      </w:tblGrid>
      <w:tr>
        <w:tblPrEx>
          <w:shd w:val="clear" w:color="auto" w:fill="cad1d7"/>
        </w:tblPrEx>
        <w:trPr>
          <w:trHeight w:val="605" w:hRule="atLeast"/>
        </w:trPr>
        <w:tc>
          <w:tcPr>
            <w:tcW w:type="dxa" w:w="70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ind w:left="0" w:firstLine="0"/>
            </w:pPr>
            <w:r>
              <w:rPr>
                <w:rFonts w:ascii="Arial" w:hAnsi="Arial"/>
                <w:shd w:val="nil" w:color="auto" w:fill="auto"/>
                <w:rtl w:val="0"/>
                <w:lang w:val="en-US"/>
              </w:rPr>
              <w:t xml:space="preserve">Theme 1 </w:t>
            </w:r>
            <w:r>
              <w:rPr>
                <w:rFonts w:ascii="Arial" w:hAnsi="Arial" w:hint="default"/>
                <w:shd w:val="nil" w:color="auto" w:fill="auto"/>
                <w:rtl w:val="0"/>
                <w:lang w:val="en-US"/>
              </w:rPr>
              <w:t xml:space="preserve">– </w:t>
            </w:r>
            <w:r>
              <w:rPr>
                <w:rFonts w:ascii="Arial" w:hAnsi="Arial"/>
                <w:shd w:val="nil" w:color="auto" w:fill="auto"/>
                <w:rtl w:val="0"/>
                <w:lang w:val="en-US"/>
              </w:rPr>
              <w:t>Reducing financial pressures on people facing poverty</w:t>
            </w:r>
          </w:p>
        </w:tc>
        <w:tc>
          <w:tcPr>
            <w:tcW w:type="dxa" w:w="6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spacing w:after="0" w:line="240" w:lineRule="auto"/>
              <w:ind w:left="0" w:firstLine="0"/>
            </w:pPr>
            <w:r>
              <w:rPr>
                <w:rFonts w:ascii="Arial" w:hAnsi="Arial"/>
                <w:shd w:val="nil" w:color="auto" w:fill="auto"/>
                <w:rtl w:val="0"/>
                <w:lang w:val="en-US"/>
              </w:rPr>
              <w:t xml:space="preserve">Theme 2 </w:t>
            </w:r>
            <w:r>
              <w:rPr>
                <w:rFonts w:ascii="Arial" w:hAnsi="Arial" w:hint="default"/>
                <w:shd w:val="nil" w:color="auto" w:fill="auto"/>
                <w:rtl w:val="0"/>
                <w:lang w:val="en-US"/>
              </w:rPr>
              <w:t xml:space="preserve">– </w:t>
            </w:r>
            <w:r>
              <w:rPr>
                <w:rFonts w:ascii="Arial" w:hAnsi="Arial"/>
                <w:shd w:val="nil" w:color="auto" w:fill="auto"/>
                <w:rtl w:val="0"/>
                <w:lang w:val="en-US"/>
              </w:rPr>
              <w:t>Building individual and community resilience</w:t>
            </w:r>
          </w:p>
        </w:tc>
      </w:tr>
      <w:tr>
        <w:tblPrEx>
          <w:shd w:val="clear" w:color="auto" w:fill="cad1d7"/>
        </w:tblPrEx>
        <w:trPr>
          <w:trHeight w:val="562" w:hRule="atLeast"/>
        </w:trPr>
        <w:tc>
          <w:tcPr>
            <w:tcW w:type="dxa" w:w="70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spacing w:after="0" w:line="240" w:lineRule="auto"/>
              <w:ind w:left="0" w:firstLine="0"/>
            </w:pPr>
            <w:r>
              <w:rPr>
                <w:rFonts w:ascii="Arial" w:hAnsi="Arial"/>
                <w:shd w:val="nil" w:color="auto" w:fill="auto"/>
                <w:rtl w:val="0"/>
                <w:lang w:val="en-US"/>
              </w:rPr>
              <w:t xml:space="preserve">Theme 3 </w:t>
            </w:r>
            <w:r>
              <w:rPr>
                <w:rFonts w:ascii="Arial" w:hAnsi="Arial" w:hint="default"/>
                <w:shd w:val="nil" w:color="auto" w:fill="auto"/>
                <w:rtl w:val="0"/>
                <w:lang w:val="en-US"/>
              </w:rPr>
              <w:t xml:space="preserve">– </w:t>
            </w:r>
            <w:r>
              <w:rPr>
                <w:rFonts w:ascii="Arial" w:hAnsi="Arial"/>
                <w:shd w:val="nil" w:color="auto" w:fill="auto"/>
                <w:rtl w:val="0"/>
                <w:lang w:val="en-US"/>
              </w:rPr>
              <w:t>Addressing barriers to accessing Services</w:t>
            </w:r>
          </w:p>
        </w:tc>
        <w:tc>
          <w:tcPr>
            <w:tcW w:type="dxa" w:w="6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spacing w:after="0" w:line="240" w:lineRule="auto"/>
              <w:ind w:left="0" w:firstLine="0"/>
            </w:pPr>
            <w:r>
              <w:rPr>
                <w:rFonts w:ascii="Arial" w:hAnsi="Arial"/>
                <w:shd w:val="nil" w:color="auto" w:fill="auto"/>
                <w:rtl w:val="0"/>
                <w:lang w:val="en-US"/>
              </w:rPr>
              <w:t xml:space="preserve">Theme 4 </w:t>
            </w:r>
            <w:r>
              <w:rPr>
                <w:rFonts w:ascii="Arial" w:hAnsi="Arial" w:hint="default"/>
                <w:shd w:val="nil" w:color="auto" w:fill="auto"/>
                <w:rtl w:val="0"/>
                <w:lang w:val="en-US"/>
              </w:rPr>
              <w:t xml:space="preserve">– </w:t>
            </w:r>
            <w:r>
              <w:rPr>
                <w:rFonts w:ascii="Arial" w:hAnsi="Arial"/>
                <w:shd w:val="nil" w:color="auto" w:fill="auto"/>
                <w:rtl w:val="0"/>
                <w:lang w:val="en-US"/>
              </w:rPr>
              <w:t>Building organisation capacity to better tackle poverty</w:t>
            </w:r>
          </w:p>
        </w:tc>
      </w:tr>
      <w:tr>
        <w:tblPrEx>
          <w:shd w:val="clear" w:color="auto" w:fill="cad1d7"/>
        </w:tblPrEx>
        <w:trPr>
          <w:trHeight w:val="562" w:hRule="atLeast"/>
        </w:trPr>
        <w:tc>
          <w:tcPr>
            <w:tcW w:type="dxa" w:w="70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spacing w:after="0" w:line="240" w:lineRule="auto"/>
              <w:ind w:left="0" w:firstLine="0"/>
            </w:pPr>
            <w:r>
              <w:rPr>
                <w:rFonts w:ascii="Arial" w:hAnsi="Arial"/>
                <w:shd w:val="nil" w:color="auto" w:fill="auto"/>
                <w:rtl w:val="0"/>
                <w:lang w:val="en-US"/>
              </w:rPr>
              <w:t xml:space="preserve">Theme 5 </w:t>
            </w:r>
            <w:r>
              <w:rPr>
                <w:rFonts w:ascii="Arial" w:hAnsi="Arial" w:hint="default"/>
                <w:shd w:val="nil" w:color="auto" w:fill="auto"/>
                <w:rtl w:val="0"/>
                <w:lang w:val="en-US"/>
              </w:rPr>
              <w:t xml:space="preserve">– </w:t>
            </w:r>
            <w:r>
              <w:rPr>
                <w:rFonts w:ascii="Arial" w:hAnsi="Arial"/>
                <w:shd w:val="nil" w:color="auto" w:fill="auto"/>
                <w:rtl w:val="0"/>
                <w:lang w:val="en-US"/>
              </w:rPr>
              <w:t>Maximising income of people facing poverty</w:t>
            </w:r>
          </w:p>
        </w:tc>
        <w:tc>
          <w:tcPr>
            <w:tcW w:type="dxa" w:w="6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spacing w:after="0" w:line="240" w:lineRule="auto"/>
              <w:ind w:left="0" w:firstLine="0"/>
            </w:pPr>
            <w:r>
              <w:rPr>
                <w:rFonts w:ascii="Arial" w:hAnsi="Arial"/>
                <w:shd w:val="nil" w:color="auto" w:fill="auto"/>
                <w:rtl w:val="0"/>
                <w:lang w:val="en-US"/>
              </w:rPr>
              <w:t xml:space="preserve">Theme 6 </w:t>
            </w:r>
            <w:r>
              <w:rPr>
                <w:rFonts w:ascii="Arial" w:hAnsi="Arial" w:hint="default"/>
                <w:shd w:val="nil" w:color="auto" w:fill="auto"/>
                <w:rtl w:val="0"/>
                <w:lang w:val="en-US"/>
              </w:rPr>
              <w:t xml:space="preserve">– </w:t>
            </w:r>
            <w:r>
              <w:rPr>
                <w:rFonts w:ascii="Arial" w:hAnsi="Arial"/>
                <w:shd w:val="nil" w:color="auto" w:fill="auto"/>
                <w:rtl w:val="0"/>
                <w:lang w:val="en-US"/>
              </w:rPr>
              <w:t>Tackling severe and persistent poverty and destitution</w:t>
            </w:r>
          </w:p>
        </w:tc>
      </w:tr>
    </w:tbl>
    <w:p>
      <w:pPr>
        <w:pStyle w:val="List Paragraph"/>
        <w:widowControl w:val="0"/>
        <w:spacing w:line="240" w:lineRule="auto"/>
        <w:ind w:left="0" w:firstLine="0"/>
        <w:rPr>
          <w:rFonts w:ascii="Arial" w:cs="Arial" w:hAnsi="Arial" w:eastAsia="Arial"/>
        </w:rPr>
      </w:pPr>
    </w:p>
    <w:p>
      <w:pPr>
        <w:pStyle w:val="List Paragraph"/>
        <w:rPr>
          <w:rFonts w:ascii="Arial" w:cs="Arial" w:hAnsi="Arial" w:eastAsia="Arial"/>
        </w:rPr>
      </w:pPr>
    </w:p>
    <w:p>
      <w:pPr>
        <w:pStyle w:val="Body"/>
        <w:rPr>
          <w:rFonts w:ascii="Arial" w:cs="Arial" w:hAnsi="Arial" w:eastAsia="Arial"/>
          <w:b w:val="1"/>
          <w:bCs w:val="1"/>
        </w:rPr>
      </w:pPr>
      <w:r>
        <w:rPr>
          <w:rFonts w:ascii="Arial" w:hAnsi="Arial"/>
          <w:b w:val="1"/>
          <w:bCs w:val="1"/>
          <w:rtl w:val="0"/>
          <w:lang w:val="en-US"/>
        </w:rPr>
        <w:t>Locality Planning in Action</w:t>
      </w:r>
    </w:p>
    <w:p>
      <w:pPr>
        <w:pStyle w:val="Body"/>
        <w:rPr>
          <w:rFonts w:ascii="Arial" w:cs="Arial" w:hAnsi="Arial" w:eastAsia="Arial"/>
        </w:rPr>
      </w:pPr>
      <w:r>
        <w:rPr>
          <w:rFonts w:ascii="Arial" w:hAnsi="Arial"/>
          <w:rtl w:val="0"/>
          <w:lang w:val="en-US"/>
        </w:rPr>
        <w:t>Local officers collaborated closely with the community to review relevant data and existing plans for the area. This process helped identify</w:t>
      </w:r>
      <w:r>
        <w:rPr>
          <w:rFonts w:ascii="Arial" w:hAnsi="Arial" w:hint="default"/>
          <w:rtl w:val="0"/>
          <w:lang w:val="en-US"/>
        </w:rPr>
        <w:t> </w:t>
      </w:r>
      <w:r>
        <w:rPr>
          <w:rFonts w:ascii="Arial" w:hAnsi="Arial"/>
          <w:rtl w:val="0"/>
          <w:lang w:val="en-US"/>
        </w:rPr>
        <w:t>key projects and activities</w:t>
      </w:r>
      <w:r>
        <w:rPr>
          <w:rFonts w:ascii="Arial" w:hAnsi="Arial" w:hint="default"/>
          <w:rtl w:val="0"/>
          <w:lang w:val="en-US"/>
        </w:rPr>
        <w:t> </w:t>
      </w:r>
      <w:r>
        <w:rPr>
          <w:rFonts w:ascii="Arial" w:hAnsi="Arial"/>
          <w:rtl w:val="0"/>
          <w:lang w:val="en-US"/>
        </w:rPr>
        <w:t>that could effectively address local inequalities.</w:t>
      </w:r>
    </w:p>
    <w:p>
      <w:pPr>
        <w:pStyle w:val="Body"/>
        <w:rPr>
          <w:rFonts w:ascii="Arial" w:cs="Arial" w:hAnsi="Arial" w:eastAsia="Arial"/>
        </w:rPr>
      </w:pPr>
      <w:r>
        <w:rPr>
          <w:rFonts w:ascii="Arial" w:hAnsi="Arial"/>
          <w:rtl w:val="0"/>
          <w:lang w:val="en-US"/>
        </w:rPr>
        <w:t>From this engagement, a set of</w:t>
      </w:r>
      <w:r>
        <w:rPr>
          <w:rFonts w:ascii="Arial" w:hAnsi="Arial" w:hint="default"/>
          <w:rtl w:val="0"/>
          <w:lang w:val="en-US"/>
        </w:rPr>
        <w:t> </w:t>
      </w:r>
      <w:r>
        <w:rPr>
          <w:rFonts w:ascii="Arial" w:hAnsi="Arial"/>
          <w:rtl w:val="0"/>
          <w:lang w:val="en-US"/>
        </w:rPr>
        <w:t>realistic and achievable actions</w:t>
      </w:r>
      <w:r>
        <w:rPr>
          <w:rFonts w:ascii="Arial" w:hAnsi="Arial" w:hint="default"/>
          <w:rtl w:val="0"/>
          <w:lang w:val="en-US"/>
        </w:rPr>
        <w:t> </w:t>
      </w:r>
      <w:r>
        <w:rPr>
          <w:rFonts w:ascii="Arial" w:hAnsi="Arial"/>
          <w:rtl w:val="0"/>
          <w:lang w:val="en-US"/>
        </w:rPr>
        <w:t>was developed in partnership with relevant organisations. These actions were incorporated into a</w:t>
      </w:r>
      <w:r>
        <w:rPr>
          <w:rFonts w:ascii="Arial" w:hAnsi="Arial" w:hint="default"/>
          <w:rtl w:val="0"/>
          <w:lang w:val="en-US"/>
        </w:rPr>
        <w:t> </w:t>
      </w:r>
      <w:r>
        <w:rPr>
          <w:rFonts w:ascii="Arial" w:hAnsi="Arial"/>
          <w:rtl w:val="0"/>
          <w:lang w:val="en-US"/>
        </w:rPr>
        <w:t>Locality Action Plan, which received formal approval from the</w:t>
      </w:r>
      <w:r>
        <w:rPr>
          <w:rFonts w:ascii="Arial" w:hAnsi="Arial" w:hint="default"/>
          <w:rtl w:val="0"/>
          <w:lang w:val="en-US"/>
        </w:rPr>
        <w:t> </w:t>
      </w:r>
      <w:r>
        <w:rPr>
          <w:rFonts w:ascii="Arial" w:hAnsi="Arial"/>
          <w:rtl w:val="0"/>
          <w:lang w:val="en-US"/>
        </w:rPr>
        <w:t>Community Planning Senior Leadership Team on 4 July 2025.</w:t>
      </w:r>
    </w:p>
    <w:p>
      <w:pPr>
        <w:pStyle w:val="Body"/>
        <w:rPr>
          <w:rFonts w:ascii="Arial" w:cs="Arial" w:hAnsi="Arial" w:eastAsia="Arial"/>
        </w:rPr>
      </w:pPr>
      <w:r>
        <w:rPr>
          <w:rFonts w:ascii="Arial" w:hAnsi="Arial"/>
          <w:rtl w:val="0"/>
          <w:lang w:val="en-US"/>
        </w:rPr>
        <w:t>In addition to Kirkconnel and Kelloholm, other areas identified as priorities for future Locality Plans include</w:t>
      </w:r>
      <w:r>
        <w:rPr>
          <w:rFonts w:ascii="Arial" w:hAnsi="Arial" w:hint="default"/>
          <w:rtl w:val="0"/>
          <w:lang w:val="en-US"/>
        </w:rPr>
        <w:t> </w:t>
      </w:r>
      <w:r>
        <w:rPr>
          <w:rFonts w:ascii="Arial" w:hAnsi="Arial"/>
          <w:rtl w:val="0"/>
          <w:lang w:val="en-US"/>
        </w:rPr>
        <w:t>parts of Annan, Dumfries, and Stranraer.</w:t>
      </w:r>
    </w:p>
    <w:p>
      <w:pPr>
        <w:pStyle w:val="Body"/>
        <w:rPr>
          <w:rFonts w:ascii="Arial" w:cs="Arial" w:hAnsi="Arial" w:eastAsia="Arial"/>
          <w:b w:val="1"/>
          <w:bCs w:val="1"/>
        </w:rPr>
      </w:pPr>
      <w:r>
        <w:rPr>
          <w:rFonts w:ascii="Arial" w:hAnsi="Arial"/>
          <w:b w:val="1"/>
          <w:bCs w:val="1"/>
          <w:rtl w:val="0"/>
          <w:lang w:val="en-US"/>
        </w:rPr>
        <w:t>Community Planning Partnership Board - Key achievements</w:t>
      </w:r>
    </w:p>
    <w:p>
      <w:pPr>
        <w:pStyle w:val="List Paragraph"/>
        <w:numPr>
          <w:ilvl w:val="0"/>
          <w:numId w:val="18"/>
        </w:numPr>
        <w:bidi w:val="0"/>
        <w:ind w:right="0"/>
        <w:jc w:val="left"/>
        <w:rPr>
          <w:rFonts w:ascii="Arial" w:hAnsi="Arial"/>
          <w:rtl w:val="0"/>
          <w:lang w:val="en-US"/>
        </w:rPr>
      </w:pPr>
      <w:r>
        <w:rPr>
          <w:rStyle w:val="wacimagecontainer"/>
          <w:rFonts w:ascii="Arial" w:hAnsi="Arial"/>
          <w:rtl w:val="0"/>
          <w:lang w:val="en-US"/>
        </w:rPr>
        <w:t>Maintained a rotating Co-Chairing arrangement between the Council and NHS;</w:t>
      </w:r>
    </w:p>
    <w:p>
      <w:pPr>
        <w:pStyle w:val="List Paragraph"/>
        <w:numPr>
          <w:ilvl w:val="0"/>
          <w:numId w:val="18"/>
        </w:numPr>
        <w:bidi w:val="0"/>
        <w:ind w:right="0"/>
        <w:jc w:val="left"/>
        <w:rPr>
          <w:rFonts w:ascii="Arial" w:hAnsi="Arial"/>
          <w:rtl w:val="0"/>
          <w:lang w:val="en-US"/>
        </w:rPr>
      </w:pPr>
      <w:r>
        <w:rPr>
          <w:rStyle w:val="wacimagecontainer"/>
          <w:rFonts w:ascii="Arial" w:hAnsi="Arial"/>
          <w:rtl w:val="0"/>
          <w:lang w:val="en-US"/>
        </w:rPr>
        <w:t>Endorsed the Dumfries and Galloway Children</w:t>
      </w:r>
      <w:r>
        <w:rPr>
          <w:rStyle w:val="wacimagecontainer"/>
          <w:rFonts w:ascii="Arial" w:hAnsi="Arial" w:hint="default"/>
          <w:rtl w:val="0"/>
          <w:lang w:val="en-US"/>
        </w:rPr>
        <w:t>’</w:t>
      </w:r>
      <w:r>
        <w:rPr>
          <w:rStyle w:val="wacimagecontainer"/>
          <w:rFonts w:ascii="Arial" w:hAnsi="Arial"/>
          <w:rtl w:val="0"/>
          <w:lang w:val="en-US"/>
        </w:rPr>
        <w:t>s Right</w:t>
      </w:r>
      <w:r>
        <w:rPr>
          <w:rStyle w:val="wacimagecontainer"/>
          <w:rFonts w:ascii="Arial" w:hAnsi="Arial" w:hint="default"/>
          <w:rtl w:val="0"/>
          <w:lang w:val="en-US"/>
        </w:rPr>
        <w:t>’</w:t>
      </w:r>
      <w:r>
        <w:rPr>
          <w:rStyle w:val="wacimagecontainer"/>
          <w:rFonts w:ascii="Arial" w:hAnsi="Arial"/>
          <w:rtl w:val="0"/>
          <w:lang w:val="en-US"/>
        </w:rPr>
        <w:t>s Report 2020-2023 and agreed how CP partner input could be integrated into the next report;</w:t>
      </w:r>
    </w:p>
    <w:p>
      <w:pPr>
        <w:pStyle w:val="List Paragraph"/>
        <w:numPr>
          <w:ilvl w:val="0"/>
          <w:numId w:val="18"/>
        </w:numPr>
        <w:bidi w:val="0"/>
        <w:ind w:right="0"/>
        <w:jc w:val="left"/>
        <w:rPr>
          <w:rFonts w:ascii="Arial" w:hAnsi="Arial"/>
          <w:rtl w:val="0"/>
          <w:lang w:val="en-US"/>
        </w:rPr>
      </w:pPr>
      <w:r>
        <w:rPr>
          <w:rStyle w:val="wacimagecontainer"/>
          <w:rFonts w:ascii="Arial" w:hAnsi="Arial"/>
          <w:rtl w:val="0"/>
          <w:lang w:val="en-US"/>
        </w:rPr>
        <w:t>Provided comment and feedback on the development of a new Housing Strategy and committed resource to the Housing Emergency Action Plan;</w:t>
      </w:r>
    </w:p>
    <w:p>
      <w:pPr>
        <w:pStyle w:val="List Paragraph"/>
        <w:numPr>
          <w:ilvl w:val="0"/>
          <w:numId w:val="18"/>
        </w:numPr>
        <w:bidi w:val="0"/>
        <w:ind w:right="0"/>
        <w:jc w:val="left"/>
        <w:rPr>
          <w:rFonts w:ascii="Arial" w:hAnsi="Arial"/>
          <w:rtl w:val="0"/>
          <w:lang w:val="en-US"/>
        </w:rPr>
      </w:pPr>
      <w:r>
        <w:rPr>
          <w:rStyle w:val="wacimagecontainer"/>
          <w:rFonts w:ascii="Arial" w:hAnsi="Arial"/>
          <w:rtl w:val="0"/>
          <w:lang w:val="en-US"/>
        </w:rPr>
        <w:t>Contributed to the development of a new Physical Activity Strategy for our region;</w:t>
      </w:r>
    </w:p>
    <w:p>
      <w:pPr>
        <w:pStyle w:val="List Paragraph"/>
        <w:numPr>
          <w:ilvl w:val="0"/>
          <w:numId w:val="18"/>
        </w:numPr>
        <w:bidi w:val="0"/>
        <w:ind w:right="0"/>
        <w:jc w:val="left"/>
        <w:rPr>
          <w:rFonts w:ascii="Arial" w:hAnsi="Arial"/>
          <w:rtl w:val="0"/>
          <w:lang w:val="en-US"/>
        </w:rPr>
      </w:pPr>
      <w:r>
        <w:rPr>
          <w:rStyle w:val="wacimagecontainer"/>
          <w:rFonts w:ascii="Arial" w:hAnsi="Arial"/>
          <w:rtl w:val="0"/>
          <w:lang w:val="en-US"/>
        </w:rPr>
        <w:t>Engaged in facilitated discussion around the work of the Poverty and Inequalities Partnership and Resettlement Board;</w:t>
      </w:r>
    </w:p>
    <w:p>
      <w:pPr>
        <w:pStyle w:val="List Paragraph"/>
        <w:numPr>
          <w:ilvl w:val="0"/>
          <w:numId w:val="18"/>
        </w:numPr>
        <w:bidi w:val="0"/>
        <w:ind w:right="0"/>
        <w:jc w:val="left"/>
        <w:rPr>
          <w:rFonts w:ascii="Arial" w:hAnsi="Arial"/>
          <w:rtl w:val="0"/>
          <w:lang w:val="en-US"/>
        </w:rPr>
      </w:pPr>
      <w:r>
        <w:rPr>
          <w:rStyle w:val="wacimagecontainer"/>
          <w:rFonts w:ascii="Arial" w:hAnsi="Arial"/>
          <w:rtl w:val="0"/>
          <w:lang w:val="en-US"/>
        </w:rPr>
        <w:t>Considered findings and improvement actions stemming from the Education Scotland Community Learning and Development Progress Visit to Dumfries and Galloway in January 2024;</w:t>
      </w:r>
    </w:p>
    <w:p>
      <w:pPr>
        <w:pStyle w:val="List Paragraph"/>
        <w:numPr>
          <w:ilvl w:val="0"/>
          <w:numId w:val="18"/>
        </w:numPr>
        <w:bidi w:val="0"/>
        <w:ind w:right="0"/>
        <w:jc w:val="left"/>
        <w:rPr>
          <w:rFonts w:ascii="Arial" w:hAnsi="Arial"/>
          <w:rtl w:val="0"/>
          <w:lang w:val="en-US"/>
        </w:rPr>
      </w:pPr>
      <w:r>
        <w:rPr>
          <w:rStyle w:val="wacimagecontainer"/>
          <w:rFonts w:ascii="Arial" w:hAnsi="Arial"/>
          <w:rtl w:val="0"/>
          <w:lang w:val="en-US"/>
        </w:rPr>
        <w:t>Provided support and direction to the development of the Local Development Plan 3;</w:t>
      </w:r>
    </w:p>
    <w:p>
      <w:pPr>
        <w:pStyle w:val="List Paragraph"/>
        <w:numPr>
          <w:ilvl w:val="0"/>
          <w:numId w:val="18"/>
        </w:numPr>
        <w:bidi w:val="0"/>
        <w:ind w:right="0"/>
        <w:jc w:val="left"/>
        <w:rPr>
          <w:rFonts w:ascii="Arial" w:hAnsi="Arial"/>
          <w:rtl w:val="0"/>
          <w:lang w:val="en-US"/>
        </w:rPr>
      </w:pPr>
      <w:r>
        <w:rPr>
          <w:rStyle w:val="wacimagecontainer"/>
          <w:rFonts w:ascii="Arial" w:hAnsi="Arial"/>
          <w:rtl w:val="0"/>
          <w:lang w:val="en-US"/>
        </w:rPr>
        <w:t xml:space="preserve">Supported and contributed to a </w:t>
      </w:r>
      <w:r>
        <w:rPr>
          <w:rStyle w:val="wacimagecontainer"/>
          <w:rFonts w:ascii="Arial" w:hAnsi="Arial" w:hint="default"/>
          <w:rtl w:val="0"/>
          <w:lang w:val="en-US"/>
        </w:rPr>
        <w:t>“</w:t>
      </w:r>
      <w:r>
        <w:rPr>
          <w:rStyle w:val="wacimagecontainer"/>
          <w:rFonts w:ascii="Arial" w:hAnsi="Arial"/>
          <w:rtl w:val="0"/>
          <w:lang w:val="en-US"/>
        </w:rPr>
        <w:t>Re-Population</w:t>
      </w:r>
      <w:r>
        <w:rPr>
          <w:rStyle w:val="wacimagecontainer"/>
          <w:rFonts w:ascii="Arial" w:hAnsi="Arial" w:hint="default"/>
          <w:rtl w:val="0"/>
          <w:lang w:val="en-US"/>
        </w:rPr>
        <w:t xml:space="preserve">” </w:t>
      </w:r>
      <w:r>
        <w:rPr>
          <w:rStyle w:val="wacimagecontainer"/>
          <w:rFonts w:ascii="Arial" w:hAnsi="Arial"/>
          <w:rtl w:val="0"/>
          <w:lang w:val="en-US"/>
        </w:rPr>
        <w:t xml:space="preserve">project in response to </w:t>
      </w:r>
      <w:r>
        <w:rPr>
          <w:rStyle w:val="wacimagecontainer"/>
          <w:rFonts w:ascii="Arial" w:hAnsi="Arial" w:hint="default"/>
          <w:rtl w:val="0"/>
          <w:lang w:val="en-US"/>
        </w:rPr>
        <w:t>“</w:t>
      </w:r>
      <w:r>
        <w:rPr>
          <w:rStyle w:val="wacimagecontainer"/>
          <w:rFonts w:ascii="Arial" w:hAnsi="Arial"/>
          <w:rtl w:val="0"/>
          <w:lang w:val="en-US"/>
        </w:rPr>
        <w:t>Tackling Scotland</w:t>
      </w:r>
      <w:r>
        <w:rPr>
          <w:rStyle w:val="wacimagecontainer"/>
          <w:rFonts w:ascii="Arial" w:hAnsi="Arial" w:hint="default"/>
          <w:rtl w:val="0"/>
          <w:lang w:val="en-US"/>
        </w:rPr>
        <w:t>’</w:t>
      </w:r>
      <w:r>
        <w:rPr>
          <w:rStyle w:val="wacimagecontainer"/>
          <w:rFonts w:ascii="Arial" w:hAnsi="Arial"/>
          <w:rtl w:val="0"/>
          <w:lang w:val="en-US"/>
        </w:rPr>
        <w:t>s Population Challenges;</w:t>
      </w:r>
      <w:r>
        <w:rPr>
          <w:rStyle w:val="wacimagecontainer"/>
          <w:rFonts w:ascii="Arial" w:hAnsi="Arial" w:hint="default"/>
          <w:rtl w:val="0"/>
          <w:lang w:val="en-US"/>
        </w:rPr>
        <w:t>”</w:t>
      </w:r>
    </w:p>
    <w:p>
      <w:pPr>
        <w:pStyle w:val="List Paragraph"/>
        <w:numPr>
          <w:ilvl w:val="0"/>
          <w:numId w:val="18"/>
        </w:numPr>
        <w:bidi w:val="0"/>
        <w:ind w:right="0"/>
        <w:jc w:val="left"/>
        <w:rPr>
          <w:rFonts w:ascii="Arial" w:hAnsi="Arial"/>
          <w:rtl w:val="0"/>
          <w:lang w:val="en-US"/>
        </w:rPr>
      </w:pPr>
      <w:r>
        <w:rPr>
          <w:rStyle w:val="wacimagecontainer"/>
          <w:rFonts w:ascii="Arial" w:hAnsi="Arial"/>
          <w:rtl w:val="0"/>
          <w:lang w:val="en-US"/>
        </w:rPr>
        <w:t>Supported the COVID Remembering Together Project;</w:t>
      </w:r>
    </w:p>
    <w:p>
      <w:pPr>
        <w:pStyle w:val="List Paragraph"/>
        <w:numPr>
          <w:ilvl w:val="0"/>
          <w:numId w:val="18"/>
        </w:numPr>
        <w:bidi w:val="0"/>
        <w:ind w:right="0"/>
        <w:jc w:val="left"/>
        <w:rPr>
          <w:rFonts w:ascii="Arial" w:hAnsi="Arial"/>
          <w:rtl w:val="0"/>
          <w:lang w:val="en-US"/>
        </w:rPr>
      </w:pPr>
      <w:r>
        <w:rPr>
          <w:rStyle w:val="wacimagecontainer"/>
          <w:rFonts w:ascii="Arial" w:hAnsi="Arial"/>
          <w:rtl w:val="0"/>
          <w:lang w:val="en-US"/>
        </w:rPr>
        <w:t>Held a Joint meeting with the Dumfries and Galloway Youth Council and agreed joint improvement actions;</w:t>
      </w:r>
    </w:p>
    <w:p>
      <w:pPr>
        <w:pStyle w:val="List Paragraph"/>
        <w:numPr>
          <w:ilvl w:val="0"/>
          <w:numId w:val="18"/>
        </w:numPr>
        <w:bidi w:val="0"/>
        <w:ind w:right="0"/>
        <w:jc w:val="left"/>
        <w:rPr>
          <w:rFonts w:ascii="Arial" w:hAnsi="Arial"/>
          <w:rtl w:val="0"/>
          <w:lang w:val="en-US"/>
        </w:rPr>
      </w:pPr>
      <w:r>
        <w:rPr>
          <w:rStyle w:val="wacimagecontainer"/>
          <w:rFonts w:ascii="Arial" w:hAnsi="Arial"/>
          <w:rtl w:val="0"/>
          <w:lang w:val="en-US"/>
        </w:rPr>
        <w:t>Considered how the CPP can support the new Regional Economic Delivery Plan for 2025-2027;</w:t>
      </w:r>
    </w:p>
    <w:p>
      <w:pPr>
        <w:pStyle w:val="List Paragraph"/>
        <w:numPr>
          <w:ilvl w:val="0"/>
          <w:numId w:val="18"/>
        </w:numPr>
        <w:bidi w:val="0"/>
        <w:ind w:right="0"/>
        <w:jc w:val="left"/>
        <w:rPr>
          <w:rFonts w:ascii="Arial" w:hAnsi="Arial"/>
          <w:rtl w:val="0"/>
          <w:lang w:val="en-US"/>
        </w:rPr>
      </w:pPr>
      <w:r>
        <w:rPr>
          <w:rStyle w:val="wacimagecontainer"/>
          <w:rFonts w:ascii="Arial" w:hAnsi="Arial"/>
          <w:rtl w:val="0"/>
          <w:lang w:val="en-US"/>
        </w:rPr>
        <w:t>Engaged in discussion around the Alcohol and Drugs Partnership Annual Report;</w:t>
      </w:r>
    </w:p>
    <w:p>
      <w:pPr>
        <w:pStyle w:val="List Paragraph"/>
        <w:numPr>
          <w:ilvl w:val="0"/>
          <w:numId w:val="18"/>
        </w:numPr>
        <w:bidi w:val="0"/>
        <w:ind w:right="0"/>
        <w:jc w:val="left"/>
        <w:rPr>
          <w:rFonts w:ascii="Arial" w:hAnsi="Arial"/>
          <w:rtl w:val="0"/>
          <w:lang w:val="en-US"/>
        </w:rPr>
      </w:pPr>
      <w:r>
        <w:rPr>
          <w:rStyle w:val="wacimagecontainer"/>
          <w:rFonts w:ascii="Arial" w:hAnsi="Arial"/>
          <w:rtl w:val="0"/>
          <w:lang w:val="en-US"/>
        </w:rPr>
        <w:t>Considered support for Fair Funding for the Third Sector;</w:t>
      </w:r>
    </w:p>
    <w:p>
      <w:pPr>
        <w:pStyle w:val="List Paragraph"/>
        <w:numPr>
          <w:ilvl w:val="0"/>
          <w:numId w:val="18"/>
        </w:numPr>
        <w:bidi w:val="0"/>
        <w:ind w:right="0"/>
        <w:jc w:val="left"/>
        <w:rPr>
          <w:rFonts w:ascii="Arial" w:hAnsi="Arial"/>
          <w:rtl w:val="0"/>
          <w:lang w:val="en-US"/>
        </w:rPr>
      </w:pPr>
      <w:r>
        <w:rPr>
          <w:rStyle w:val="wacimagecontainer"/>
          <w:rFonts w:ascii="Arial" w:hAnsi="Arial"/>
          <w:rtl w:val="0"/>
          <w:lang w:val="en-US"/>
        </w:rPr>
        <w:t>Contributed to the consultation on the Population Health Strategy;</w:t>
      </w:r>
    </w:p>
    <w:p>
      <w:pPr>
        <w:pStyle w:val="List Paragraph"/>
        <w:numPr>
          <w:ilvl w:val="0"/>
          <w:numId w:val="18"/>
        </w:numPr>
        <w:bidi w:val="0"/>
        <w:ind w:right="0"/>
        <w:jc w:val="left"/>
        <w:rPr>
          <w:rFonts w:ascii="Arial" w:hAnsi="Arial"/>
          <w:rtl w:val="0"/>
          <w:lang w:val="en-US"/>
        </w:rPr>
      </w:pPr>
      <w:r>
        <w:rPr>
          <w:rStyle w:val="wacimagecontainer"/>
          <w:rFonts w:ascii="Arial" w:hAnsi="Arial"/>
          <w:rtl w:val="0"/>
          <w:lang w:val="en-US"/>
        </w:rPr>
        <w:t>Submitted an application to be part of the Collaboration for Health Equity Scotland project;</w:t>
      </w:r>
    </w:p>
    <w:p>
      <w:pPr>
        <w:pStyle w:val="List Paragraph"/>
        <w:numPr>
          <w:ilvl w:val="0"/>
          <w:numId w:val="18"/>
        </w:numPr>
        <w:bidi w:val="0"/>
        <w:ind w:right="0"/>
        <w:jc w:val="left"/>
        <w:rPr>
          <w:rFonts w:ascii="Arial" w:hAnsi="Arial"/>
          <w:rtl w:val="0"/>
          <w:lang w:val="en-US"/>
        </w:rPr>
      </w:pPr>
      <w:r>
        <w:rPr>
          <w:rStyle w:val="wacimagecontainer"/>
          <w:rFonts w:ascii="Arial" w:hAnsi="Arial"/>
          <w:rtl w:val="0"/>
          <w:lang w:val="en-US"/>
        </w:rPr>
        <w:t>Supported the establishment of a D&amp;G Cultural Partnership and associated Delivery Plan;</w:t>
      </w:r>
    </w:p>
    <w:p>
      <w:pPr>
        <w:pStyle w:val="List Paragraph"/>
        <w:numPr>
          <w:ilvl w:val="0"/>
          <w:numId w:val="18"/>
        </w:numPr>
        <w:bidi w:val="0"/>
        <w:ind w:right="0"/>
        <w:jc w:val="left"/>
        <w:rPr>
          <w:rFonts w:ascii="Arial" w:hAnsi="Arial"/>
          <w:rtl w:val="0"/>
          <w:lang w:val="en-US"/>
        </w:rPr>
      </w:pPr>
      <w:r>
        <w:rPr>
          <w:rStyle w:val="wacimagecontainer"/>
          <w:rFonts w:ascii="Arial" w:hAnsi="Arial"/>
          <w:rtl w:val="0"/>
          <w:lang w:val="en-US"/>
        </w:rPr>
        <w:t>Participated in the Improvement Services</w:t>
      </w:r>
      <w:r>
        <w:rPr>
          <w:rStyle w:val="wacimagecontainer"/>
          <w:rFonts w:ascii="Arial" w:hAnsi="Arial" w:hint="default"/>
          <w:rtl w:val="0"/>
          <w:lang w:val="en-US"/>
        </w:rPr>
        <w:t xml:space="preserve">’ </w:t>
      </w:r>
      <w:r>
        <w:rPr>
          <w:rStyle w:val="wacimagecontainer"/>
          <w:rFonts w:ascii="Arial" w:hAnsi="Arial"/>
          <w:rtl w:val="0"/>
          <w:lang w:val="en-US"/>
        </w:rPr>
        <w:t>Community Planning self-evaluation exercise and development of an agreed an action plan.</w:t>
      </w:r>
    </w:p>
    <w:p>
      <w:pPr>
        <w:pStyle w:val="List Paragraph"/>
        <w:rPr>
          <w:rFonts w:ascii="Arial" w:cs="Arial" w:hAnsi="Arial" w:eastAsia="Arial"/>
        </w:rPr>
      </w:pPr>
    </w:p>
    <w:p>
      <w:pPr>
        <w:pStyle w:val="Body"/>
        <w:rPr>
          <w:rFonts w:ascii="Arial" w:cs="Arial" w:hAnsi="Arial" w:eastAsia="Arial"/>
          <w:b w:val="1"/>
          <w:bCs w:val="1"/>
          <w:sz w:val="28"/>
          <w:szCs w:val="28"/>
        </w:rPr>
      </w:pPr>
      <w:r>
        <w:rPr>
          <w:rFonts w:ascii="Arial" w:hAnsi="Arial"/>
          <w:b w:val="1"/>
          <w:bCs w:val="1"/>
          <w:sz w:val="28"/>
          <w:szCs w:val="28"/>
          <w:rtl w:val="0"/>
          <w:lang w:val="en-US"/>
        </w:rPr>
        <w:t>How are we doing?*</w:t>
      </w:r>
    </w:p>
    <w:p>
      <w:pPr>
        <w:pStyle w:val="Body"/>
        <w:rPr>
          <w:rFonts w:ascii="Arial" w:cs="Arial" w:hAnsi="Arial" w:eastAsia="Arial"/>
          <w:b w:val="1"/>
          <w:bCs w:val="1"/>
          <w:u w:val="single"/>
        </w:rPr>
      </w:pPr>
      <w:r>
        <w:rPr>
          <w:rFonts w:ascii="Arial" w:hAnsi="Arial"/>
          <w:b w:val="1"/>
          <w:bCs w:val="1"/>
          <w:u w:val="single"/>
          <w:rtl w:val="0"/>
          <w:lang w:val="en-US"/>
        </w:rPr>
        <w:t>*see the appendix for detailed breakdown of indicator trends</w:t>
      </w:r>
    </w:p>
    <w:p>
      <w:pPr>
        <w:pStyle w:val="Body"/>
        <w:rPr>
          <w:rFonts w:ascii="Arial" w:cs="Arial" w:hAnsi="Arial" w:eastAsia="Arial"/>
          <w:b w:val="1"/>
          <w:bCs w:val="1"/>
        </w:rPr>
      </w:pPr>
      <w:r>
        <w:rPr>
          <w:rFonts w:ascii="Arial" w:hAnsi="Arial"/>
          <w:b w:val="1"/>
          <w:bCs w:val="1"/>
          <w:shd w:val="clear" w:color="auto" w:fill="a5c9eb"/>
          <w:rtl w:val="0"/>
          <w:lang w:val="de-DE"/>
        </w:rPr>
        <w:t xml:space="preserve">THEME </w:t>
      </w:r>
      <w:r>
        <w:rPr>
          <w:rFonts w:ascii="Arial" w:hAnsi="Arial" w:hint="default"/>
          <w:b w:val="1"/>
          <w:bCs w:val="1"/>
          <w:shd w:val="clear" w:color="auto" w:fill="a5c9eb"/>
          <w:rtl w:val="0"/>
          <w:lang w:val="en-US"/>
        </w:rPr>
        <w:t xml:space="preserve">– </w:t>
      </w:r>
      <w:r>
        <w:rPr>
          <w:rFonts w:ascii="Arial" w:hAnsi="Arial"/>
          <w:b w:val="1"/>
          <w:bCs w:val="1"/>
          <w:shd w:val="clear" w:color="auto" w:fill="a5c9eb"/>
          <w:rtl w:val="0"/>
          <w:lang w:val="en-US"/>
        </w:rPr>
        <w:t>HEALTH AND WELLBEING</w:t>
      </w:r>
    </w:p>
    <w:p>
      <w:pPr>
        <w:pStyle w:val="Body"/>
        <w:spacing w:line="276" w:lineRule="auto"/>
      </w:pPr>
      <w:r>
        <w:rPr>
          <w:rFonts w:ascii="Arial" w:cs="Arial" w:hAnsi="Arial" w:eastAsia="Arial"/>
        </w:rPr>
        <mc:AlternateContent>
          <mc:Choice Requires="wpg">
            <w:drawing xmlns:a="http://schemas.openxmlformats.org/drawingml/2006/main">
              <wp:anchor distT="0" distB="0" distL="0" distR="0" simplePos="0" relativeHeight="251659264" behindDoc="0" locked="0" layoutInCell="1" allowOverlap="1">
                <wp:simplePos x="0" y="0"/>
                <wp:positionH relativeFrom="page">
                  <wp:posOffset>914400</wp:posOffset>
                </wp:positionH>
                <wp:positionV relativeFrom="line">
                  <wp:posOffset>192405</wp:posOffset>
                </wp:positionV>
                <wp:extent cx="9182100" cy="4260850"/>
                <wp:effectExtent l="0" t="0" r="0" b="0"/>
                <wp:wrapNone/>
                <wp:docPr id="1073741831" name="officeArt object" descr="Rectangle: Rounded Corners 7"/>
                <wp:cNvGraphicFramePr/>
                <a:graphic xmlns:a="http://schemas.openxmlformats.org/drawingml/2006/main">
                  <a:graphicData uri="http://schemas.microsoft.com/office/word/2010/wordprocessingGroup">
                    <wpg:wgp>
                      <wpg:cNvGrpSpPr/>
                      <wpg:grpSpPr>
                        <a:xfrm>
                          <a:off x="0" y="0"/>
                          <a:ext cx="9182100" cy="4260850"/>
                          <a:chOff x="0" y="0"/>
                          <a:chExt cx="9182100" cy="4260850"/>
                        </a:xfrm>
                      </wpg:grpSpPr>
                      <wps:wsp>
                        <wps:cNvPr id="1073741829" name="Rounded Rectangle"/>
                        <wps:cNvSpPr/>
                        <wps:spPr>
                          <a:xfrm>
                            <a:off x="0" y="0"/>
                            <a:ext cx="9182100" cy="4260850"/>
                          </a:xfrm>
                          <a:prstGeom prst="roundRect">
                            <a:avLst>
                              <a:gd name="adj" fmla="val 16667"/>
                            </a:avLst>
                          </a:prstGeom>
                          <a:solidFill>
                            <a:srgbClr val="A6CAEC"/>
                          </a:solidFill>
                          <a:ln w="12700" cap="flat">
                            <a:solidFill>
                              <a:srgbClr val="092937"/>
                            </a:solidFill>
                            <a:prstDash val="solid"/>
                            <a:miter lim="800000"/>
                          </a:ln>
                          <a:effectLst/>
                        </wps:spPr>
                        <wps:bodyPr/>
                      </wps:wsp>
                      <wps:wsp>
                        <wps:cNvPr id="1073741830" name="The ongoing Cost of Living crisis continues to significantly affect families across Dumfries and Galloway. The region currently experiences fuel poverty levels above the national average, with an upward trend indicating growing concern. Child Poverty rat"/>
                        <wps:cNvSpPr txBox="1"/>
                        <wps:spPr>
                          <a:xfrm>
                            <a:off x="260067" y="214347"/>
                            <a:ext cx="8661966" cy="3832156"/>
                          </a:xfrm>
                          <a:prstGeom prst="rect">
                            <a:avLst/>
                          </a:prstGeom>
                          <a:noFill/>
                          <a:ln w="12700" cap="flat">
                            <a:noFill/>
                            <a:miter lim="400000"/>
                          </a:ln>
                          <a:effectLst/>
                        </wps:spPr>
                        <wps:txbx>
                          <w:txbxContent>
                            <w:p>
                              <w:pPr>
                                <w:pStyle w:val="Body"/>
                                <w:spacing w:line="276"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en-US"/>
                                  <w14:textFill>
                                    <w14:solidFill>
                                      <w14:srgbClr w14:val="000000"/>
                                    </w14:solidFill>
                                  </w14:textFill>
                                </w:rPr>
                                <w:t>The ongoing Cost of Living crisis continues to significantly affect families across Dumfries and Galloway. The region currently experiences fuel poverty levels above the national average, with an upward trend indicating growing concern. Child Poverty rates have been above the national average, however latest data for 23/24 has shown a decline to 22.7% the lowest level since 2015 when records began</w:t>
                              </w:r>
                              <w:r>
                                <w:rPr>
                                  <w:rFonts w:ascii="Segoe UI" w:cs="Segoe UI" w:hAnsi="Segoe UI" w:eastAsia="Segoe UI"/>
                                  <w:outline w:val="0"/>
                                  <w:color w:val="000000"/>
                                  <w:sz w:val="18"/>
                                  <w:szCs w:val="18"/>
                                  <w:u w:color="000000"/>
                                  <w:rtl w:val="0"/>
                                  <w14:textFill>
                                    <w14:solidFill>
                                      <w14:srgbClr w14:val="000000"/>
                                    </w14:solidFill>
                                  </w14:textFill>
                                </w:rPr>
                                <w:t>.</w:t>
                              </w:r>
                              <w:r>
                                <w:rPr>
                                  <w:rFonts w:ascii="Arial" w:hAnsi="Arial"/>
                                  <w:outline w:val="0"/>
                                  <w:color w:val="000000"/>
                                  <w:u w:color="000000"/>
                                  <w:rtl w:val="0"/>
                                  <w:lang w:val="en-US"/>
                                  <w14:textFill>
                                    <w14:solidFill>
                                      <w14:srgbClr w14:val="000000"/>
                                    </w14:solidFill>
                                  </w14:textFill>
                                </w:rPr>
                                <w:t xml:space="preserve"> While median earnings remain below the national average, the earnings gap has narrowed slightly since 2020/21. In terms of health indicators:</w:t>
                              </w:r>
                            </w:p>
                            <w:p>
                              <w:pPr>
                                <w:pStyle w:val="List Paragraph"/>
                                <w:numPr>
                                  <w:ilvl w:val="0"/>
                                  <w:numId w:val="19"/>
                                </w:numPr>
                                <w:bidi w:val="0"/>
                                <w:spacing w:after="0" w:line="276" w:lineRule="auto"/>
                                <w:ind w:right="0"/>
                                <w:jc w:val="left"/>
                                <w:rPr>
                                  <w:rFonts w:ascii="Arial" w:hAnsi="Arial"/>
                                  <w:rtl w:val="0"/>
                                  <w:lang w:val="en-US"/>
                                </w:rPr>
                              </w:pPr>
                              <w:r>
                                <w:rPr>
                                  <w:rFonts w:ascii="Arial" w:hAnsi="Arial"/>
                                  <w:b w:val="1"/>
                                  <w:bCs w:val="1"/>
                                  <w:outline w:val="0"/>
                                  <w:color w:val="000000"/>
                                  <w:u w:color="000000"/>
                                  <w:rtl w:val="0"/>
                                  <w:lang w:val="en-US"/>
                                  <w14:textFill>
                                    <w14:solidFill>
                                      <w14:srgbClr w14:val="000000"/>
                                    </w14:solidFill>
                                  </w14:textFill>
                                </w:rPr>
                                <w:t xml:space="preserve">Healthy Life Expectancy (HLE) </w:t>
                              </w:r>
                              <w:r>
                                <w:rPr>
                                  <w:rFonts w:ascii="Arial" w:hAnsi="Arial"/>
                                  <w:outline w:val="0"/>
                                  <w:color w:val="000000"/>
                                  <w:u w:color="000000"/>
                                  <w:rtl w:val="0"/>
                                  <w:lang w:val="en-US"/>
                                  <w14:textFill>
                                    <w14:solidFill>
                                      <w14:srgbClr w14:val="000000"/>
                                    </w14:solidFill>
                                  </w14:textFill>
                                </w:rPr>
                                <w:t>presents a mixed picture:</w:t>
                              </w:r>
                            </w:p>
                            <w:p>
                              <w:pPr>
                                <w:pStyle w:val="List Paragraph"/>
                                <w:numPr>
                                  <w:ilvl w:val="0"/>
                                  <w:numId w:val="20"/>
                                </w:numPr>
                                <w:bidi w:val="0"/>
                                <w:spacing w:after="0" w:line="276" w:lineRule="auto"/>
                                <w:ind w:right="0"/>
                                <w:jc w:val="left"/>
                                <w:rPr>
                                  <w:rFonts w:ascii="Arial" w:hAnsi="Arial"/>
                                  <w:rtl w:val="0"/>
                                  <w:lang w:val="en-US"/>
                                </w:rPr>
                              </w:pPr>
                              <w:r>
                                <w:rPr>
                                  <w:rFonts w:ascii="Arial" w:hAnsi="Arial"/>
                                  <w:outline w:val="0"/>
                                  <w:color w:val="000000"/>
                                  <w:u w:color="000000"/>
                                  <w:rtl w:val="0"/>
                                  <w:lang w:val="en-US"/>
                                  <w14:textFill>
                                    <w14:solidFill>
                                      <w14:srgbClr w14:val="000000"/>
                                    </w14:solidFill>
                                  </w14:textFill>
                                </w:rPr>
                                <w:t>For females, there is a worsening trend over the past three years.</w:t>
                              </w:r>
                            </w:p>
                            <w:p>
                              <w:pPr>
                                <w:pStyle w:val="List Paragraph"/>
                                <w:numPr>
                                  <w:ilvl w:val="0"/>
                                  <w:numId w:val="20"/>
                                </w:numPr>
                                <w:bidi w:val="0"/>
                                <w:spacing w:after="0" w:line="276" w:lineRule="auto"/>
                                <w:ind w:right="0"/>
                                <w:jc w:val="left"/>
                                <w:rPr>
                                  <w:rFonts w:ascii="Arial" w:hAnsi="Arial"/>
                                  <w:rtl w:val="0"/>
                                  <w:lang w:val="en-US"/>
                                </w:rPr>
                              </w:pPr>
                              <w:r>
                                <w:rPr>
                                  <w:rFonts w:ascii="Arial" w:hAnsi="Arial"/>
                                  <w:outline w:val="0"/>
                                  <w:color w:val="000000"/>
                                  <w:u w:color="000000"/>
                                  <w:rtl w:val="0"/>
                                  <w:lang w:val="en-US"/>
                                  <w14:textFill>
                                    <w14:solidFill>
                                      <w14:srgbClr w14:val="000000"/>
                                    </w14:solidFill>
                                  </w14:textFill>
                                </w:rPr>
                                <w:t>For males, HLE has remained relatively stable and above the national average.</w:t>
                              </w:r>
                            </w:p>
                            <w:p>
                              <w:pPr>
                                <w:pStyle w:val="List Paragraph"/>
                                <w:spacing w:after="0" w:line="276" w:lineRule="auto"/>
                                <w:ind w:hanging="360"/>
                                <w:rPr>
                                  <w:rFonts w:ascii="Arial" w:cs="Arial" w:hAnsi="Arial" w:eastAsia="Arial"/>
                                  <w:outline w:val="0"/>
                                  <w:color w:val="000000"/>
                                  <w:u w:color="000000"/>
                                  <w14:textFill>
                                    <w14:solidFill>
                                      <w14:srgbClr w14:val="000000"/>
                                    </w14:solidFill>
                                  </w14:textFill>
                                </w:rPr>
                              </w:pPr>
                            </w:p>
                            <w:p>
                              <w:pPr>
                                <w:pStyle w:val="List Paragraph"/>
                                <w:numPr>
                                  <w:ilvl w:val="0"/>
                                  <w:numId w:val="21"/>
                                </w:numPr>
                                <w:bidi w:val="0"/>
                                <w:spacing w:after="0" w:line="276" w:lineRule="auto"/>
                                <w:ind w:right="0"/>
                                <w:jc w:val="left"/>
                                <w:rPr>
                                  <w:rFonts w:ascii="Arial" w:hAnsi="Arial"/>
                                  <w:rtl w:val="0"/>
                                  <w:lang w:val="en-US"/>
                                </w:rPr>
                              </w:pPr>
                              <w:r>
                                <w:rPr>
                                  <w:rFonts w:ascii="Arial" w:hAnsi="Arial"/>
                                  <w:b w:val="1"/>
                                  <w:bCs w:val="1"/>
                                  <w:outline w:val="0"/>
                                  <w:color w:val="000000"/>
                                  <w:u w:color="000000"/>
                                  <w:rtl w:val="0"/>
                                  <w:lang w:val="en-US"/>
                                  <w14:textFill>
                                    <w14:solidFill>
                                      <w14:srgbClr w14:val="000000"/>
                                    </w14:solidFill>
                                  </w14:textFill>
                                </w:rPr>
                                <w:t>Alcohol related hospital admissions</w:t>
                              </w:r>
                              <w:r>
                                <w:rPr>
                                  <w:rFonts w:ascii="Arial" w:hAnsi="Arial"/>
                                  <w:outline w:val="0"/>
                                  <w:color w:val="000000"/>
                                  <w:u w:color="000000"/>
                                  <w:rtl w:val="0"/>
                                  <w:lang w:val="en-US"/>
                                  <w14:textFill>
                                    <w14:solidFill>
                                      <w14:srgbClr w14:val="000000"/>
                                    </w14:solidFill>
                                  </w14:textFill>
                                </w:rPr>
                                <w:t xml:space="preserve"> are showing a declining trend, with Dumfries and Galloway performing better than the national average. However, there has been a slight increase in alcohol related deaths between 2019/20 and 2023/24, though rates remain well below national levels.</w:t>
                              </w:r>
                            </w:p>
                            <w:p>
                              <w:pPr>
                                <w:pStyle w:val="List Paragraph"/>
                                <w:spacing w:after="0" w:line="276" w:lineRule="auto"/>
                                <w:rPr>
                                  <w:rFonts w:ascii="Arial" w:cs="Arial" w:hAnsi="Arial" w:eastAsia="Arial"/>
                                  <w:outline w:val="0"/>
                                  <w:color w:val="000000"/>
                                  <w:u w:color="000000"/>
                                  <w14:textFill>
                                    <w14:solidFill>
                                      <w14:srgbClr w14:val="000000"/>
                                    </w14:solidFill>
                                  </w14:textFill>
                                </w:rPr>
                              </w:pPr>
                            </w:p>
                            <w:p>
                              <w:pPr>
                                <w:pStyle w:val="List Paragraph"/>
                                <w:numPr>
                                  <w:ilvl w:val="0"/>
                                  <w:numId w:val="19"/>
                                </w:numPr>
                                <w:bidi w:val="0"/>
                                <w:spacing w:after="0" w:line="276" w:lineRule="auto"/>
                                <w:ind w:right="0"/>
                                <w:jc w:val="left"/>
                                <w:rPr>
                                  <w:rFonts w:ascii="Arial" w:hAnsi="Arial"/>
                                  <w:rtl w:val="0"/>
                                  <w:lang w:val="en-US"/>
                                </w:rPr>
                              </w:pPr>
                              <w:r>
                                <w:rPr>
                                  <w:rFonts w:ascii="Arial" w:hAnsi="Arial"/>
                                  <w:b w:val="1"/>
                                  <w:bCs w:val="1"/>
                                  <w:outline w:val="0"/>
                                  <w:color w:val="000000"/>
                                  <w:u w:color="000000"/>
                                  <w:rtl w:val="0"/>
                                  <w:lang w:val="en-US"/>
                                  <w14:textFill>
                                    <w14:solidFill>
                                      <w14:srgbClr w14:val="000000"/>
                                    </w14:solidFill>
                                  </w14:textFill>
                                </w:rPr>
                                <w:t>Drug related deaths</w:t>
                              </w:r>
                              <w:r>
                                <w:rPr>
                                  <w:rFonts w:ascii="Arial" w:hAnsi="Arial"/>
                                  <w:outline w:val="0"/>
                                  <w:color w:val="000000"/>
                                  <w:u w:color="000000"/>
                                  <w:rtl w:val="0"/>
                                  <w:lang w:val="en-US"/>
                                  <w14:textFill>
                                    <w14:solidFill>
                                      <w14:srgbClr w14:val="000000"/>
                                    </w14:solidFill>
                                  </w14:textFill>
                                </w:rPr>
                                <w:t xml:space="preserve"> rose between 2020/21 and 2022/23, but encouragingly, there was a sharp decline in 2023/24, bringing the rate well below the national average.</w:t>
                              </w:r>
                            </w:p>
                            <w:p>
                              <w:pPr>
                                <w:pStyle w:val="Body"/>
                                <w:spacing w:after="0" w:line="276" w:lineRule="auto"/>
                                <w:ind w:left="720" w:firstLine="0"/>
                                <w:rPr>
                                  <w:rFonts w:ascii="Arial" w:cs="Arial" w:hAnsi="Arial" w:eastAsia="Arial"/>
                                  <w:b w:val="1"/>
                                  <w:bCs w:val="1"/>
                                  <w:outline w:val="0"/>
                                  <w:color w:val="000000"/>
                                  <w:u w:color="000000"/>
                                  <w14:textFill>
                                    <w14:solidFill>
                                      <w14:srgbClr w14:val="000000"/>
                                    </w14:solidFill>
                                  </w14:textFill>
                                </w:rPr>
                              </w:pPr>
                            </w:p>
                            <w:p>
                              <w:pPr>
                                <w:pStyle w:val="List Paragraph"/>
                                <w:numPr>
                                  <w:ilvl w:val="0"/>
                                  <w:numId w:val="19"/>
                                </w:numPr>
                                <w:bidi w:val="0"/>
                                <w:ind w:right="0"/>
                                <w:jc w:val="left"/>
                                <w:rPr>
                                  <w:rFonts w:ascii="Arial" w:hAnsi="Arial"/>
                                  <w:rtl w:val="0"/>
                                  <w:lang w:val="en-US"/>
                                </w:rPr>
                              </w:pPr>
                              <w:r>
                                <w:rPr>
                                  <w:rFonts w:ascii="Arial" w:hAnsi="Arial"/>
                                  <w:b w:val="1"/>
                                  <w:bCs w:val="1"/>
                                  <w:outline w:val="0"/>
                                  <w:color w:val="000000"/>
                                  <w:u w:color="000000"/>
                                  <w:rtl w:val="0"/>
                                  <w:lang w:val="en-US"/>
                                  <w14:textFill>
                                    <w14:solidFill>
                                      <w14:srgbClr w14:val="000000"/>
                                    </w14:solidFill>
                                  </w14:textFill>
                                </w:rPr>
                                <w:t xml:space="preserve">Child Healthy weight </w:t>
                              </w:r>
                              <w:r>
                                <w:rPr>
                                  <w:rFonts w:ascii="Arial" w:hAnsi="Arial"/>
                                  <w:outline w:val="0"/>
                                  <w:color w:val="000000"/>
                                  <w:u w:color="000000"/>
                                  <w:rtl w:val="0"/>
                                  <w:lang w:val="en-US"/>
                                  <w14:textFill>
                                    <w14:solidFill>
                                      <w14:srgbClr w14:val="000000"/>
                                    </w14:solidFill>
                                  </w14:textFill>
                                </w:rPr>
                                <w:t>- D&amp;G has had a lower percentage of children of a healthy weight compared to the reset of Scotland but the latest data has shown increases in the percentage of children of a healthy weight.</w:t>
                              </w:r>
                            </w:p>
                          </w:txbxContent>
                        </wps:txbx>
                        <wps:bodyPr wrap="square" lIns="45719" tIns="45719" rIns="45719" bIns="45719" numCol="1" anchor="ctr">
                          <a:noAutofit/>
                        </wps:bodyPr>
                      </wps:wsp>
                    </wpg:wgp>
                  </a:graphicData>
                </a:graphic>
              </wp:anchor>
            </w:drawing>
          </mc:Choice>
          <mc:Fallback>
            <w:pict>
              <v:group id="_x0000_s1027" style="visibility:visible;position:absolute;margin-left:72.0pt;margin-top:15.1pt;width:723.0pt;height:335.5pt;z-index:251659264;mso-position-horizontal:absolute;mso-position-horizontal-relative:page;mso-position-vertical:absolute;mso-position-vertical-relative:line;mso-wrap-distance-left:0.0pt;mso-wrap-distance-top:0.0pt;mso-wrap-distance-right:0.0pt;mso-wrap-distance-bottom:0.0pt;" coordorigin="0,0" coordsize="9182100,4260850">
                <w10:wrap type="none" side="bothSides" anchorx="page"/>
                <v:roundrect id="_x0000_s1028" style="position:absolute;left:0;top:0;width:9182100;height:4260850;" adj="3600">
                  <v:fill color="#A6CAEC" opacity="100.0%" type="solid"/>
                  <v:stroke filltype="solid" color="#092937" opacity="100.0%" weight="1.0pt" dashstyle="solid" endcap="flat" miterlimit="800.0%" joinstyle="miter" linestyle="single" startarrow="none" startarrowwidth="medium" startarrowlength="medium" endarrow="none" endarrowwidth="medium" endarrowlength="medium"/>
                </v:roundrect>
                <v:shape id="_x0000_s1029" type="#_x0000_t202" style="position:absolute;left:260068;top:214348;width:8661964;height:3832154;">
                  <v:fill on="f"/>
                  <v:stroke on="f" weight="1.0pt" dashstyle="solid" endcap="flat" miterlimit="400.0%" joinstyle="miter" linestyle="single" startarrow="none" startarrowwidth="medium" startarrowlength="medium" endarrow="none" endarrowwidth="medium" endarrowlength="medium"/>
                  <v:textbox>
                    <w:txbxContent>
                      <w:p>
                        <w:pPr>
                          <w:pStyle w:val="Body"/>
                          <w:spacing w:line="276"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en-US"/>
                            <w14:textFill>
                              <w14:solidFill>
                                <w14:srgbClr w14:val="000000"/>
                              </w14:solidFill>
                            </w14:textFill>
                          </w:rPr>
                          <w:t>The ongoing Cost of Living crisis continues to significantly affect families across Dumfries and Galloway. The region currently experiences fuel poverty levels above the national average, with an upward trend indicating growing concern. Child Poverty rates have been above the national average, however latest data for 23/24 has shown a decline to 22.7% the lowest level since 2015 when records began</w:t>
                        </w:r>
                        <w:r>
                          <w:rPr>
                            <w:rFonts w:ascii="Segoe UI" w:cs="Segoe UI" w:hAnsi="Segoe UI" w:eastAsia="Segoe UI"/>
                            <w:outline w:val="0"/>
                            <w:color w:val="000000"/>
                            <w:sz w:val="18"/>
                            <w:szCs w:val="18"/>
                            <w:u w:color="000000"/>
                            <w:rtl w:val="0"/>
                            <w14:textFill>
                              <w14:solidFill>
                                <w14:srgbClr w14:val="000000"/>
                              </w14:solidFill>
                            </w14:textFill>
                          </w:rPr>
                          <w:t>.</w:t>
                        </w:r>
                        <w:r>
                          <w:rPr>
                            <w:rFonts w:ascii="Arial" w:hAnsi="Arial"/>
                            <w:outline w:val="0"/>
                            <w:color w:val="000000"/>
                            <w:u w:color="000000"/>
                            <w:rtl w:val="0"/>
                            <w:lang w:val="en-US"/>
                            <w14:textFill>
                              <w14:solidFill>
                                <w14:srgbClr w14:val="000000"/>
                              </w14:solidFill>
                            </w14:textFill>
                          </w:rPr>
                          <w:t xml:space="preserve"> While median earnings remain below the national average, the earnings gap has narrowed slightly since 2020/21. In terms of health indicators:</w:t>
                        </w:r>
                      </w:p>
                      <w:p>
                        <w:pPr>
                          <w:pStyle w:val="List Paragraph"/>
                          <w:numPr>
                            <w:ilvl w:val="0"/>
                            <w:numId w:val="19"/>
                          </w:numPr>
                          <w:bidi w:val="0"/>
                          <w:spacing w:after="0" w:line="276" w:lineRule="auto"/>
                          <w:ind w:right="0"/>
                          <w:jc w:val="left"/>
                          <w:rPr>
                            <w:rFonts w:ascii="Arial" w:hAnsi="Arial"/>
                            <w:rtl w:val="0"/>
                            <w:lang w:val="en-US"/>
                          </w:rPr>
                        </w:pPr>
                        <w:r>
                          <w:rPr>
                            <w:rFonts w:ascii="Arial" w:hAnsi="Arial"/>
                            <w:b w:val="1"/>
                            <w:bCs w:val="1"/>
                            <w:outline w:val="0"/>
                            <w:color w:val="000000"/>
                            <w:u w:color="000000"/>
                            <w:rtl w:val="0"/>
                            <w:lang w:val="en-US"/>
                            <w14:textFill>
                              <w14:solidFill>
                                <w14:srgbClr w14:val="000000"/>
                              </w14:solidFill>
                            </w14:textFill>
                          </w:rPr>
                          <w:t xml:space="preserve">Healthy Life Expectancy (HLE) </w:t>
                        </w:r>
                        <w:r>
                          <w:rPr>
                            <w:rFonts w:ascii="Arial" w:hAnsi="Arial"/>
                            <w:outline w:val="0"/>
                            <w:color w:val="000000"/>
                            <w:u w:color="000000"/>
                            <w:rtl w:val="0"/>
                            <w:lang w:val="en-US"/>
                            <w14:textFill>
                              <w14:solidFill>
                                <w14:srgbClr w14:val="000000"/>
                              </w14:solidFill>
                            </w14:textFill>
                          </w:rPr>
                          <w:t>presents a mixed picture:</w:t>
                        </w:r>
                      </w:p>
                      <w:p>
                        <w:pPr>
                          <w:pStyle w:val="List Paragraph"/>
                          <w:numPr>
                            <w:ilvl w:val="0"/>
                            <w:numId w:val="20"/>
                          </w:numPr>
                          <w:bidi w:val="0"/>
                          <w:spacing w:after="0" w:line="276" w:lineRule="auto"/>
                          <w:ind w:right="0"/>
                          <w:jc w:val="left"/>
                          <w:rPr>
                            <w:rFonts w:ascii="Arial" w:hAnsi="Arial"/>
                            <w:rtl w:val="0"/>
                            <w:lang w:val="en-US"/>
                          </w:rPr>
                        </w:pPr>
                        <w:r>
                          <w:rPr>
                            <w:rFonts w:ascii="Arial" w:hAnsi="Arial"/>
                            <w:outline w:val="0"/>
                            <w:color w:val="000000"/>
                            <w:u w:color="000000"/>
                            <w:rtl w:val="0"/>
                            <w:lang w:val="en-US"/>
                            <w14:textFill>
                              <w14:solidFill>
                                <w14:srgbClr w14:val="000000"/>
                              </w14:solidFill>
                            </w14:textFill>
                          </w:rPr>
                          <w:t>For females, there is a worsening trend over the past three years.</w:t>
                        </w:r>
                      </w:p>
                      <w:p>
                        <w:pPr>
                          <w:pStyle w:val="List Paragraph"/>
                          <w:numPr>
                            <w:ilvl w:val="0"/>
                            <w:numId w:val="20"/>
                          </w:numPr>
                          <w:bidi w:val="0"/>
                          <w:spacing w:after="0" w:line="276" w:lineRule="auto"/>
                          <w:ind w:right="0"/>
                          <w:jc w:val="left"/>
                          <w:rPr>
                            <w:rFonts w:ascii="Arial" w:hAnsi="Arial"/>
                            <w:rtl w:val="0"/>
                            <w:lang w:val="en-US"/>
                          </w:rPr>
                        </w:pPr>
                        <w:r>
                          <w:rPr>
                            <w:rFonts w:ascii="Arial" w:hAnsi="Arial"/>
                            <w:outline w:val="0"/>
                            <w:color w:val="000000"/>
                            <w:u w:color="000000"/>
                            <w:rtl w:val="0"/>
                            <w:lang w:val="en-US"/>
                            <w14:textFill>
                              <w14:solidFill>
                                <w14:srgbClr w14:val="000000"/>
                              </w14:solidFill>
                            </w14:textFill>
                          </w:rPr>
                          <w:t>For males, HLE has remained relatively stable and above the national average.</w:t>
                        </w:r>
                      </w:p>
                      <w:p>
                        <w:pPr>
                          <w:pStyle w:val="List Paragraph"/>
                          <w:spacing w:after="0" w:line="276" w:lineRule="auto"/>
                          <w:ind w:hanging="360"/>
                          <w:rPr>
                            <w:rFonts w:ascii="Arial" w:cs="Arial" w:hAnsi="Arial" w:eastAsia="Arial"/>
                            <w:outline w:val="0"/>
                            <w:color w:val="000000"/>
                            <w:u w:color="000000"/>
                            <w14:textFill>
                              <w14:solidFill>
                                <w14:srgbClr w14:val="000000"/>
                              </w14:solidFill>
                            </w14:textFill>
                          </w:rPr>
                        </w:pPr>
                      </w:p>
                      <w:p>
                        <w:pPr>
                          <w:pStyle w:val="List Paragraph"/>
                          <w:numPr>
                            <w:ilvl w:val="0"/>
                            <w:numId w:val="21"/>
                          </w:numPr>
                          <w:bidi w:val="0"/>
                          <w:spacing w:after="0" w:line="276" w:lineRule="auto"/>
                          <w:ind w:right="0"/>
                          <w:jc w:val="left"/>
                          <w:rPr>
                            <w:rFonts w:ascii="Arial" w:hAnsi="Arial"/>
                            <w:rtl w:val="0"/>
                            <w:lang w:val="en-US"/>
                          </w:rPr>
                        </w:pPr>
                        <w:r>
                          <w:rPr>
                            <w:rFonts w:ascii="Arial" w:hAnsi="Arial"/>
                            <w:b w:val="1"/>
                            <w:bCs w:val="1"/>
                            <w:outline w:val="0"/>
                            <w:color w:val="000000"/>
                            <w:u w:color="000000"/>
                            <w:rtl w:val="0"/>
                            <w:lang w:val="en-US"/>
                            <w14:textFill>
                              <w14:solidFill>
                                <w14:srgbClr w14:val="000000"/>
                              </w14:solidFill>
                            </w14:textFill>
                          </w:rPr>
                          <w:t>Alcohol related hospital admissions</w:t>
                        </w:r>
                        <w:r>
                          <w:rPr>
                            <w:rFonts w:ascii="Arial" w:hAnsi="Arial"/>
                            <w:outline w:val="0"/>
                            <w:color w:val="000000"/>
                            <w:u w:color="000000"/>
                            <w:rtl w:val="0"/>
                            <w:lang w:val="en-US"/>
                            <w14:textFill>
                              <w14:solidFill>
                                <w14:srgbClr w14:val="000000"/>
                              </w14:solidFill>
                            </w14:textFill>
                          </w:rPr>
                          <w:t xml:space="preserve"> are showing a declining trend, with Dumfries and Galloway performing better than the national average. However, there has been a slight increase in alcohol related deaths between 2019/20 and 2023/24, though rates remain well below national levels.</w:t>
                        </w:r>
                      </w:p>
                      <w:p>
                        <w:pPr>
                          <w:pStyle w:val="List Paragraph"/>
                          <w:spacing w:after="0" w:line="276" w:lineRule="auto"/>
                          <w:rPr>
                            <w:rFonts w:ascii="Arial" w:cs="Arial" w:hAnsi="Arial" w:eastAsia="Arial"/>
                            <w:outline w:val="0"/>
                            <w:color w:val="000000"/>
                            <w:u w:color="000000"/>
                            <w14:textFill>
                              <w14:solidFill>
                                <w14:srgbClr w14:val="000000"/>
                              </w14:solidFill>
                            </w14:textFill>
                          </w:rPr>
                        </w:pPr>
                      </w:p>
                      <w:p>
                        <w:pPr>
                          <w:pStyle w:val="List Paragraph"/>
                          <w:numPr>
                            <w:ilvl w:val="0"/>
                            <w:numId w:val="19"/>
                          </w:numPr>
                          <w:bidi w:val="0"/>
                          <w:spacing w:after="0" w:line="276" w:lineRule="auto"/>
                          <w:ind w:right="0"/>
                          <w:jc w:val="left"/>
                          <w:rPr>
                            <w:rFonts w:ascii="Arial" w:hAnsi="Arial"/>
                            <w:rtl w:val="0"/>
                            <w:lang w:val="en-US"/>
                          </w:rPr>
                        </w:pPr>
                        <w:r>
                          <w:rPr>
                            <w:rFonts w:ascii="Arial" w:hAnsi="Arial"/>
                            <w:b w:val="1"/>
                            <w:bCs w:val="1"/>
                            <w:outline w:val="0"/>
                            <w:color w:val="000000"/>
                            <w:u w:color="000000"/>
                            <w:rtl w:val="0"/>
                            <w:lang w:val="en-US"/>
                            <w14:textFill>
                              <w14:solidFill>
                                <w14:srgbClr w14:val="000000"/>
                              </w14:solidFill>
                            </w14:textFill>
                          </w:rPr>
                          <w:t>Drug related deaths</w:t>
                        </w:r>
                        <w:r>
                          <w:rPr>
                            <w:rFonts w:ascii="Arial" w:hAnsi="Arial"/>
                            <w:outline w:val="0"/>
                            <w:color w:val="000000"/>
                            <w:u w:color="000000"/>
                            <w:rtl w:val="0"/>
                            <w:lang w:val="en-US"/>
                            <w14:textFill>
                              <w14:solidFill>
                                <w14:srgbClr w14:val="000000"/>
                              </w14:solidFill>
                            </w14:textFill>
                          </w:rPr>
                          <w:t xml:space="preserve"> rose between 2020/21 and 2022/23, but encouragingly, there was a sharp decline in 2023/24, bringing the rate well below the national average.</w:t>
                        </w:r>
                      </w:p>
                      <w:p>
                        <w:pPr>
                          <w:pStyle w:val="Body"/>
                          <w:spacing w:after="0" w:line="276" w:lineRule="auto"/>
                          <w:ind w:left="720" w:firstLine="0"/>
                          <w:rPr>
                            <w:rFonts w:ascii="Arial" w:cs="Arial" w:hAnsi="Arial" w:eastAsia="Arial"/>
                            <w:b w:val="1"/>
                            <w:bCs w:val="1"/>
                            <w:outline w:val="0"/>
                            <w:color w:val="000000"/>
                            <w:u w:color="000000"/>
                            <w14:textFill>
                              <w14:solidFill>
                                <w14:srgbClr w14:val="000000"/>
                              </w14:solidFill>
                            </w14:textFill>
                          </w:rPr>
                        </w:pPr>
                      </w:p>
                      <w:p>
                        <w:pPr>
                          <w:pStyle w:val="List Paragraph"/>
                          <w:numPr>
                            <w:ilvl w:val="0"/>
                            <w:numId w:val="19"/>
                          </w:numPr>
                          <w:bidi w:val="0"/>
                          <w:ind w:right="0"/>
                          <w:jc w:val="left"/>
                          <w:rPr>
                            <w:rFonts w:ascii="Arial" w:hAnsi="Arial"/>
                            <w:rtl w:val="0"/>
                            <w:lang w:val="en-US"/>
                          </w:rPr>
                        </w:pPr>
                        <w:r>
                          <w:rPr>
                            <w:rFonts w:ascii="Arial" w:hAnsi="Arial"/>
                            <w:b w:val="1"/>
                            <w:bCs w:val="1"/>
                            <w:outline w:val="0"/>
                            <w:color w:val="000000"/>
                            <w:u w:color="000000"/>
                            <w:rtl w:val="0"/>
                            <w:lang w:val="en-US"/>
                            <w14:textFill>
                              <w14:solidFill>
                                <w14:srgbClr w14:val="000000"/>
                              </w14:solidFill>
                            </w14:textFill>
                          </w:rPr>
                          <w:t xml:space="preserve">Child Healthy weight </w:t>
                        </w:r>
                        <w:r>
                          <w:rPr>
                            <w:rFonts w:ascii="Arial" w:hAnsi="Arial"/>
                            <w:outline w:val="0"/>
                            <w:color w:val="000000"/>
                            <w:u w:color="000000"/>
                            <w:rtl w:val="0"/>
                            <w:lang w:val="en-US"/>
                            <w14:textFill>
                              <w14:solidFill>
                                <w14:srgbClr w14:val="000000"/>
                              </w14:solidFill>
                            </w14:textFill>
                          </w:rPr>
                          <w:t>- D&amp;G has had a lower percentage of children of a healthy weight compared to the reset of Scotland but the latest data has shown increases in the percentage of children of a healthy weight.</w:t>
                        </w:r>
                      </w:p>
                    </w:txbxContent>
                  </v:textbox>
                </v:shape>
              </v:group>
            </w:pict>
          </mc:Fallback>
        </mc:AlternateContent>
      </w:r>
      <w:r>
        <w:rPr>
          <w:rFonts w:ascii="Arial" w:hAnsi="Arial"/>
          <w:b w:val="1"/>
          <w:bCs w:val="1"/>
          <w:rtl w:val="0"/>
          <w:lang w:val="en-US"/>
        </w:rPr>
        <w:t>Regional Health and Wellbeing Overview</w:t>
      </w:r>
    </w:p>
    <w:p>
      <w:pPr>
        <w:pStyle w:val="Body"/>
        <w:spacing w:line="276" w:lineRule="auto"/>
        <w:rPr>
          <w:rFonts w:ascii="Arial" w:cs="Arial" w:hAnsi="Arial" w:eastAsia="Arial"/>
          <w:shd w:val="clear" w:color="auto" w:fill="ffff00"/>
        </w:rPr>
      </w:pPr>
    </w:p>
    <w:p>
      <w:pPr>
        <w:pStyle w:val="Body"/>
        <w:spacing w:line="276" w:lineRule="auto"/>
        <w:rPr>
          <w:rFonts w:ascii="Arial" w:cs="Arial" w:hAnsi="Arial" w:eastAsia="Arial"/>
          <w:shd w:val="clear" w:color="auto" w:fill="ffff00"/>
        </w:rPr>
      </w:pPr>
    </w:p>
    <w:p>
      <w:pPr>
        <w:pStyle w:val="Body"/>
        <w:spacing w:line="276" w:lineRule="auto"/>
        <w:rPr>
          <w:rFonts w:ascii="Arial" w:cs="Arial" w:hAnsi="Arial" w:eastAsia="Arial"/>
          <w:shd w:val="clear" w:color="auto" w:fill="ffff00"/>
        </w:rPr>
      </w:pPr>
    </w:p>
    <w:p>
      <w:pPr>
        <w:pStyle w:val="Body"/>
        <w:spacing w:line="276" w:lineRule="auto"/>
        <w:rPr>
          <w:rFonts w:ascii="Arial" w:cs="Arial" w:hAnsi="Arial" w:eastAsia="Arial"/>
          <w:shd w:val="clear" w:color="auto" w:fill="ffff00"/>
        </w:rPr>
      </w:pPr>
    </w:p>
    <w:p>
      <w:pPr>
        <w:pStyle w:val="Body"/>
        <w:spacing w:line="276" w:lineRule="auto"/>
        <w:rPr>
          <w:rFonts w:ascii="Arial" w:cs="Arial" w:hAnsi="Arial" w:eastAsia="Arial"/>
          <w:shd w:val="clear" w:color="auto" w:fill="ffff00"/>
        </w:rPr>
      </w:pPr>
    </w:p>
    <w:p>
      <w:pPr>
        <w:pStyle w:val="Body"/>
        <w:spacing w:line="276" w:lineRule="auto"/>
        <w:rPr>
          <w:rFonts w:ascii="Arial" w:cs="Arial" w:hAnsi="Arial" w:eastAsia="Arial"/>
          <w:shd w:val="clear" w:color="auto" w:fill="ffff00"/>
        </w:rPr>
      </w:pPr>
    </w:p>
    <w:p>
      <w:pPr>
        <w:pStyle w:val="Body"/>
        <w:spacing w:line="276" w:lineRule="auto"/>
        <w:rPr>
          <w:rFonts w:ascii="Arial" w:cs="Arial" w:hAnsi="Arial" w:eastAsia="Arial"/>
          <w:shd w:val="clear" w:color="auto" w:fill="ffff00"/>
        </w:rPr>
      </w:pPr>
    </w:p>
    <w:p>
      <w:pPr>
        <w:pStyle w:val="Body"/>
        <w:spacing w:line="276" w:lineRule="auto"/>
        <w:rPr>
          <w:rFonts w:ascii="Arial" w:cs="Arial" w:hAnsi="Arial" w:eastAsia="Arial"/>
          <w:shd w:val="clear" w:color="auto" w:fill="ffff00"/>
        </w:rPr>
      </w:pPr>
    </w:p>
    <w:p>
      <w:pPr>
        <w:pStyle w:val="Body"/>
        <w:spacing w:line="276" w:lineRule="auto"/>
        <w:rPr>
          <w:rFonts w:ascii="Arial" w:cs="Arial" w:hAnsi="Arial" w:eastAsia="Arial"/>
          <w:shd w:val="clear" w:color="auto" w:fill="ffff00"/>
        </w:rPr>
      </w:pPr>
    </w:p>
    <w:p>
      <w:pPr>
        <w:pStyle w:val="Body"/>
        <w:spacing w:line="276" w:lineRule="auto"/>
        <w:rPr>
          <w:rFonts w:ascii="Arial" w:cs="Arial" w:hAnsi="Arial" w:eastAsia="Arial"/>
          <w:shd w:val="clear" w:color="auto" w:fill="ffff00"/>
        </w:rPr>
      </w:pPr>
    </w:p>
    <w:p>
      <w:pPr>
        <w:pStyle w:val="Body"/>
        <w:spacing w:line="276" w:lineRule="auto"/>
        <w:rPr>
          <w:rFonts w:ascii="Arial" w:cs="Arial" w:hAnsi="Arial" w:eastAsia="Arial"/>
          <w:shd w:val="clear" w:color="auto" w:fill="ffff00"/>
        </w:rPr>
      </w:pPr>
    </w:p>
    <w:p>
      <w:pPr>
        <w:pStyle w:val="Body"/>
        <w:spacing w:line="276" w:lineRule="auto"/>
        <w:rPr>
          <w:rFonts w:ascii="Arial" w:cs="Arial" w:hAnsi="Arial" w:eastAsia="Arial"/>
          <w:shd w:val="clear" w:color="auto" w:fill="ffff00"/>
        </w:rPr>
      </w:pPr>
    </w:p>
    <w:p>
      <w:pPr>
        <w:pStyle w:val="Body"/>
        <w:rPr>
          <w:rFonts w:ascii="Arial" w:cs="Arial" w:hAnsi="Arial" w:eastAsia="Arial"/>
          <w:b w:val="1"/>
          <w:bCs w:val="1"/>
          <w:u w:val="single"/>
        </w:rPr>
      </w:pPr>
      <w:r>
        <w:rPr>
          <w:rFonts w:ascii="Arial" w:hAnsi="Arial"/>
          <w:b w:val="1"/>
          <w:bCs w:val="1"/>
          <w:u w:val="single"/>
          <w:rtl w:val="0"/>
          <w:lang w:val="en-US"/>
        </w:rPr>
        <w:t>Examples of successful projects linked to Health and Wellbeing:</w:t>
      </w:r>
    </w:p>
    <w:p>
      <w:pPr>
        <w:pStyle w:val="Body"/>
        <w:rPr>
          <w:rFonts w:ascii="Arial" w:cs="Arial" w:hAnsi="Arial" w:eastAsia="Arial"/>
          <w:b w:val="1"/>
          <w:bCs w:val="1"/>
          <w:u w:val="single"/>
        </w:rPr>
      </w:pPr>
      <w:r>
        <w:rPr>
          <w:rFonts w:ascii="Arial" w:hAnsi="Arial"/>
          <w:b w:val="1"/>
          <w:bCs w:val="1"/>
          <w:u w:val="single"/>
          <w:rtl w:val="0"/>
          <w:lang w:val="en-US"/>
        </w:rPr>
        <w:t>Child Poverty</w:t>
      </w:r>
    </w:p>
    <w:p>
      <w:pPr>
        <w:pStyle w:val="Body"/>
        <w:rPr>
          <w:rFonts w:ascii="Arial" w:cs="Arial" w:hAnsi="Arial" w:eastAsia="Arial"/>
        </w:rPr>
      </w:pPr>
      <w:r>
        <w:rPr>
          <w:rFonts w:ascii="Arial" w:hAnsi="Arial"/>
          <w:rtl w:val="0"/>
          <w:lang w:val="en-US"/>
        </w:rPr>
        <w:t>Key Successes - The most recent Local Child Poverty Action Report published in November 2024 highlighted the following achievements:</w:t>
      </w:r>
    </w:p>
    <w:p>
      <w:pPr>
        <w:pStyle w:val="Body"/>
        <w:rPr>
          <w:rFonts w:ascii="Arial" w:cs="Arial" w:hAnsi="Arial" w:eastAsia="Arial"/>
        </w:rPr>
      </w:pPr>
      <w:r>
        <w:rPr>
          <w:rFonts w:ascii="Arial" w:hAnsi="Arial" w:hint="default"/>
          <w:rtl w:val="0"/>
          <w:lang w:val="en-US"/>
        </w:rPr>
        <w:t xml:space="preserve"> • </w:t>
      </w:r>
      <w:r>
        <w:rPr>
          <w:rFonts w:ascii="Arial" w:hAnsi="Arial"/>
          <w:rtl w:val="0"/>
          <w:lang w:val="en-US"/>
        </w:rPr>
        <w:t xml:space="preserve">348 clients were supported to obtain financial assistance to the value of </w:t>
      </w:r>
      <w:r>
        <w:rPr>
          <w:rFonts w:ascii="Arial" w:hAnsi="Arial" w:hint="default"/>
          <w:rtl w:val="0"/>
          <w:lang w:val="en-US"/>
        </w:rPr>
        <w:t>£</w:t>
      </w:r>
      <w:r>
        <w:rPr>
          <w:rFonts w:ascii="Arial" w:hAnsi="Arial"/>
          <w:rtl w:val="0"/>
          <w:lang w:val="en-US"/>
        </w:rPr>
        <w:t>220,000.</w:t>
      </w:r>
    </w:p>
    <w:p>
      <w:pPr>
        <w:pStyle w:val="Body"/>
        <w:rPr>
          <w:rFonts w:ascii="Arial" w:cs="Arial" w:hAnsi="Arial" w:eastAsia="Arial"/>
        </w:rPr>
      </w:pPr>
      <w:r>
        <w:rPr>
          <w:rFonts w:ascii="Arial" w:hAnsi="Arial"/>
          <w:rtl w:val="0"/>
          <w:lang w:val="en-US"/>
        </w:rPr>
        <w:t xml:space="preserve">Of these, 95 clients had a successful intervention which prevented their situation progressing to eviction, with an average Homeless case costing the local authority </w:t>
      </w:r>
      <w:r>
        <w:rPr>
          <w:rFonts w:ascii="Arial" w:hAnsi="Arial" w:hint="default"/>
          <w:rtl w:val="0"/>
          <w:lang w:val="en-US"/>
        </w:rPr>
        <w:t>£</w:t>
      </w:r>
      <w:r>
        <w:rPr>
          <w:rFonts w:ascii="Arial" w:hAnsi="Arial"/>
          <w:rtl w:val="0"/>
          <w:lang w:val="en-US"/>
        </w:rPr>
        <w:t xml:space="preserve">12,000 this potentially saved a total of </w:t>
      </w:r>
      <w:r>
        <w:rPr>
          <w:rFonts w:ascii="Arial" w:hAnsi="Arial" w:hint="default"/>
          <w:rtl w:val="0"/>
          <w:lang w:val="en-US"/>
        </w:rPr>
        <w:t>£</w:t>
      </w:r>
      <w:r>
        <w:rPr>
          <w:rFonts w:ascii="Arial" w:hAnsi="Arial"/>
          <w:rtl w:val="0"/>
        </w:rPr>
        <w:t xml:space="preserve">1.14 million. </w:t>
      </w:r>
    </w:p>
    <w:p>
      <w:pPr>
        <w:pStyle w:val="Body"/>
        <w:rPr>
          <w:rFonts w:ascii="Arial" w:cs="Arial" w:hAnsi="Arial" w:eastAsia="Arial"/>
        </w:rPr>
      </w:pPr>
      <w:r>
        <w:rPr>
          <w:rFonts w:ascii="Arial" w:hAnsi="Arial" w:hint="default"/>
          <w:rtl w:val="0"/>
          <w:lang w:val="en-US"/>
        </w:rPr>
        <w:t xml:space="preserve">• </w:t>
      </w:r>
      <w:r>
        <w:rPr>
          <w:rFonts w:ascii="Arial" w:hAnsi="Arial"/>
          <w:rtl w:val="0"/>
          <w:lang w:val="en-US"/>
        </w:rPr>
        <w:t xml:space="preserve">School clothing grants provided for 2,215 local children and young people and over 650 children and young people were assisted with </w:t>
      </w:r>
      <w:r>
        <w:rPr>
          <w:rFonts w:ascii="Arial" w:hAnsi="Arial" w:hint="default"/>
          <w:rtl w:val="0"/>
          <w:lang w:val="en-US"/>
        </w:rPr>
        <w:t>‘</w:t>
      </w:r>
      <w:r>
        <w:rPr>
          <w:rFonts w:ascii="Arial" w:hAnsi="Arial"/>
          <w:rtl w:val="0"/>
          <w:lang w:val="en-US"/>
        </w:rPr>
        <w:t>back to school</w:t>
      </w:r>
      <w:r>
        <w:rPr>
          <w:rFonts w:ascii="Arial" w:hAnsi="Arial" w:hint="default"/>
          <w:rtl w:val="0"/>
          <w:lang w:val="en-US"/>
        </w:rPr>
        <w:t xml:space="preserve">’ </w:t>
      </w:r>
      <w:r>
        <w:rPr>
          <w:rFonts w:ascii="Arial" w:hAnsi="Arial"/>
          <w:rtl w:val="0"/>
          <w:lang w:val="en-US"/>
        </w:rPr>
        <w:t xml:space="preserve">and separately </w:t>
      </w:r>
      <w:r>
        <w:rPr>
          <w:rFonts w:ascii="Arial" w:hAnsi="Arial" w:hint="default"/>
          <w:rtl w:val="0"/>
          <w:lang w:val="en-US"/>
        </w:rPr>
        <w:t>‘</w:t>
      </w:r>
      <w:r>
        <w:rPr>
          <w:rFonts w:ascii="Arial" w:hAnsi="Arial"/>
          <w:rtl w:val="0"/>
          <w:lang w:val="en-US"/>
        </w:rPr>
        <w:t>warm winter</w:t>
      </w:r>
      <w:r>
        <w:rPr>
          <w:rFonts w:ascii="Arial" w:hAnsi="Arial" w:hint="default"/>
          <w:rtl w:val="0"/>
          <w:lang w:val="en-US"/>
        </w:rPr>
        <w:t xml:space="preserve">’ </w:t>
      </w:r>
      <w:r>
        <w:rPr>
          <w:rFonts w:ascii="Arial" w:hAnsi="Arial"/>
          <w:rtl w:val="0"/>
          <w:lang w:val="en-US"/>
        </w:rPr>
        <w:t>clothes. Over 5150 items of school uniform and 3500 items of donated warm winter clothing were distributed at 7 events across the region.</w:t>
      </w:r>
    </w:p>
    <w:p>
      <w:pPr>
        <w:pStyle w:val="Body"/>
        <w:rPr>
          <w:rFonts w:ascii="Arial" w:cs="Arial" w:hAnsi="Arial" w:eastAsia="Arial"/>
        </w:rPr>
      </w:pPr>
      <w:r>
        <w:rPr>
          <w:rFonts w:ascii="Arial" w:hAnsi="Arial" w:hint="default"/>
          <w:rtl w:val="0"/>
          <w:lang w:val="en-US"/>
        </w:rPr>
        <w:t xml:space="preserve"> • </w:t>
      </w:r>
      <w:r>
        <w:rPr>
          <w:rFonts w:ascii="Arial" w:hAnsi="Arial"/>
          <w:rtl w:val="0"/>
          <w:lang w:val="en-US"/>
        </w:rPr>
        <w:t xml:space="preserve">An expansion of the opportunities to access free sanitary products across council, health and third sector partners sites, with thousands of local families benefiting from the service. </w:t>
      </w:r>
    </w:p>
    <w:p>
      <w:pPr>
        <w:pStyle w:val="Body"/>
        <w:rPr>
          <w:rFonts w:ascii="Arial" w:cs="Arial" w:hAnsi="Arial" w:eastAsia="Arial"/>
        </w:rPr>
      </w:pPr>
      <w:r>
        <w:rPr>
          <w:rFonts w:ascii="Arial" w:hAnsi="Arial" w:hint="default"/>
          <w:rtl w:val="0"/>
          <w:lang w:val="en-US"/>
        </w:rPr>
        <w:t xml:space="preserve">• </w:t>
      </w:r>
      <w:r>
        <w:rPr>
          <w:rFonts w:ascii="Arial" w:hAnsi="Arial"/>
          <w:rtl w:val="0"/>
          <w:lang w:val="en-US"/>
        </w:rPr>
        <w:t xml:space="preserve">Dumfries and Galloway Council works in partnership with Dumfries and Galloway Citizens Advice Service to provide information services throughout the region. The LCPAR noted that this commission delivered income maximisation measures resulting in additional income of over </w:t>
      </w:r>
      <w:r>
        <w:rPr>
          <w:rFonts w:ascii="Arial" w:hAnsi="Arial" w:hint="default"/>
          <w:rtl w:val="0"/>
          <w:lang w:val="en-US"/>
        </w:rPr>
        <w:t>£</w:t>
      </w:r>
      <w:r>
        <w:rPr>
          <w:rFonts w:ascii="Arial" w:hAnsi="Arial"/>
          <w:rtl w:val="0"/>
          <w:lang w:val="en-US"/>
        </w:rPr>
        <w:t xml:space="preserve">9.5 million for 3348 clients. </w:t>
      </w:r>
    </w:p>
    <w:p>
      <w:pPr>
        <w:pStyle w:val="Body"/>
        <w:spacing w:after="0" w:line="240" w:lineRule="auto"/>
        <w:rPr>
          <w:rStyle w:val="None"/>
          <w:rFonts w:ascii="Arial" w:cs="Arial" w:hAnsi="Arial" w:eastAsia="Arial"/>
        </w:rPr>
      </w:pPr>
      <w:r>
        <w:rPr>
          <w:rFonts w:ascii="Arial" w:hAnsi="Arial" w:hint="default"/>
          <w:rtl w:val="0"/>
          <w:lang w:val="en-US"/>
        </w:rPr>
        <w:t xml:space="preserve">• </w:t>
      </w:r>
      <w:r>
        <w:rPr>
          <w:rFonts w:ascii="Arial" w:hAnsi="Arial"/>
          <w:rtl w:val="0"/>
          <w:lang w:val="en-US"/>
        </w:rPr>
        <w:t xml:space="preserve">The Youth Work team supported young people to produce a short film </w:t>
      </w:r>
      <w:r>
        <w:rPr>
          <w:rFonts w:ascii="Arial" w:hAnsi="Arial" w:hint="default"/>
          <w:rtl w:val="0"/>
          <w:lang w:val="en-US"/>
        </w:rPr>
        <w:t>“</w:t>
      </w:r>
      <w:r>
        <w:rPr>
          <w:rFonts w:ascii="Arial" w:hAnsi="Arial"/>
          <w:rtl w:val="0"/>
          <w:lang w:val="en-US"/>
        </w:rPr>
        <w:t>Through Young Eyes</w:t>
      </w:r>
      <w:r>
        <w:rPr>
          <w:rFonts w:ascii="Arial" w:hAnsi="Arial" w:hint="default"/>
          <w:rtl w:val="0"/>
          <w:lang w:val="en-US"/>
        </w:rPr>
        <w:t xml:space="preserve">” </w:t>
      </w:r>
      <w:r>
        <w:rPr>
          <w:rFonts w:ascii="Arial" w:hAnsi="Arial"/>
          <w:rtl w:val="0"/>
          <w:lang w:val="en-US"/>
        </w:rPr>
        <w:t xml:space="preserve">which explores how young people in our region perceive poverty and their own lived experience of poverty. </w:t>
      </w:r>
      <w:r>
        <w:rPr>
          <w:rStyle w:val="Hyperlink.1"/>
        </w:rPr>
        <w:fldChar w:fldCharType="begin" w:fldLock="0"/>
      </w:r>
      <w:r>
        <w:rPr>
          <w:rStyle w:val="Hyperlink.1"/>
        </w:rPr>
        <w:instrText xml:space="preserve"> HYPERLINK "https://www.dumfriesandgalloway.gov.uk/news/2024/through-your-eyes-launches"</w:instrText>
      </w:r>
      <w:r>
        <w:rPr>
          <w:rStyle w:val="Hyperlink.1"/>
        </w:rPr>
        <w:fldChar w:fldCharType="separate" w:fldLock="0"/>
      </w:r>
      <w:r>
        <w:rPr>
          <w:rStyle w:val="Hyperlink.1"/>
          <w:rtl w:val="0"/>
          <w:lang w:val="en-US"/>
        </w:rPr>
        <w:t>"Through Your Eyes" Launches | Dumfries and Galloway Council</w:t>
      </w:r>
      <w:r>
        <w:rPr/>
        <w:fldChar w:fldCharType="end" w:fldLock="0"/>
      </w:r>
      <w:r>
        <w:rPr>
          <w:rStyle w:val="wacimagecontainer"/>
          <w:rtl w:val="0"/>
        </w:rPr>
        <w:t xml:space="preserve">. </w:t>
      </w:r>
      <w:r>
        <w:rPr>
          <w:rStyle w:val="None"/>
          <w:rFonts w:ascii="Arial" w:hAnsi="Arial"/>
          <w:rtl w:val="0"/>
          <w:lang w:val="en-US"/>
        </w:rPr>
        <w:t>This was shared across CP partners and with Jenni Minto, Minister for Public Health and Councillor Paul Kelly, COSLA spokesperson for Health and Wellbeing at their visit to the CPP in November 2024.</w:t>
      </w:r>
    </w:p>
    <w:p>
      <w:pPr>
        <w:pStyle w:val="Body"/>
        <w:spacing w:after="0" w:line="240" w:lineRule="auto"/>
      </w:pPr>
    </w:p>
    <w:p>
      <w:pPr>
        <w:pStyle w:val="Body"/>
        <w:rPr>
          <w:rStyle w:val="None"/>
          <w:rFonts w:ascii="Arial" w:cs="Arial" w:hAnsi="Arial" w:eastAsia="Arial"/>
          <w:b w:val="1"/>
          <w:bCs w:val="1"/>
        </w:rPr>
      </w:pPr>
      <w:r>
        <w:rPr>
          <w:rStyle w:val="None"/>
          <w:rFonts w:ascii="Arial" w:hAnsi="Arial"/>
          <w:b w:val="1"/>
          <w:bCs w:val="1"/>
          <w:rtl w:val="0"/>
          <w:lang w:val="en-US"/>
        </w:rPr>
        <w:t xml:space="preserve">Challenges/Issues </w:t>
      </w:r>
    </w:p>
    <w:p>
      <w:pPr>
        <w:pStyle w:val="Body"/>
        <w:rPr>
          <w:rStyle w:val="None"/>
          <w:rFonts w:ascii="Arial" w:cs="Arial" w:hAnsi="Arial" w:eastAsia="Arial"/>
        </w:rPr>
      </w:pPr>
      <w:r>
        <w:rPr>
          <w:rStyle w:val="None"/>
          <w:rFonts w:ascii="Arial" w:hAnsi="Arial"/>
          <w:rtl w:val="0"/>
          <w:lang w:val="en-US"/>
        </w:rPr>
        <w:t>Following the most recent Child Poverty data being made available in July 2025, it highlighted that child poverty in Dumfries and Galloway has reduced from 26.9% in 2022/23 to 22.7% in 2023/24 and just below the national average which sits at 23%. During 2024 the Child Poverty subgroup undertook a service design led review workshop to understand how the group might support the achievement of better outcomes, work better together rearticulating the group purpose, vision and commitment and setting out next steps which included:</w:t>
      </w:r>
    </w:p>
    <w:p>
      <w:pPr>
        <w:pStyle w:val="List Paragraph"/>
        <w:numPr>
          <w:ilvl w:val="0"/>
          <w:numId w:val="23"/>
        </w:numPr>
        <w:bidi w:val="0"/>
        <w:ind w:right="0"/>
        <w:jc w:val="left"/>
        <w:rPr>
          <w:rFonts w:ascii="Arial" w:hAnsi="Arial"/>
          <w:rtl w:val="0"/>
          <w:lang w:val="en-US"/>
        </w:rPr>
      </w:pPr>
      <w:r>
        <w:rPr>
          <w:rStyle w:val="wacimagecontainer"/>
          <w:rFonts w:ascii="Arial" w:hAnsi="Arial"/>
          <w:rtl w:val="0"/>
          <w:lang w:val="en-US"/>
        </w:rPr>
        <w:t>Aligning the reporting functions of the subgroup to streamline work enabling a focus on impact and building on the themes identified in the workshop which were Direction, Partnership, Resources, Roles, Rurality and Humanity.</w:t>
      </w:r>
    </w:p>
    <w:p>
      <w:pPr>
        <w:pStyle w:val="List Paragraph"/>
        <w:numPr>
          <w:ilvl w:val="0"/>
          <w:numId w:val="23"/>
        </w:numPr>
        <w:bidi w:val="0"/>
        <w:ind w:right="0"/>
        <w:jc w:val="left"/>
        <w:rPr>
          <w:rFonts w:ascii="Arial" w:hAnsi="Arial"/>
          <w:rtl w:val="0"/>
          <w:lang w:val="en-US"/>
        </w:rPr>
      </w:pPr>
      <w:r>
        <w:rPr>
          <w:rStyle w:val="wacimagecontainer"/>
          <w:rFonts w:ascii="Arial" w:hAnsi="Arial"/>
          <w:rtl w:val="0"/>
          <w:lang w:val="en-US"/>
        </w:rPr>
        <w:t>Further developing the enabling and supporting actions with a focus on realistic measures, a responsive but not reactive partnership approach all building on the voice of lived experience.</w:t>
      </w:r>
    </w:p>
    <w:p>
      <w:pPr>
        <w:pStyle w:val="Body"/>
      </w:pPr>
      <w:r>
        <w:rPr>
          <w:rStyle w:val="None"/>
          <w:rFonts w:ascii="Arial" w:hAnsi="Arial"/>
          <w:rtl w:val="0"/>
          <w:lang w:val="en-US"/>
        </w:rPr>
        <w:t>Dumfries and Galloway Council Policy investment funding(</w:t>
      </w:r>
      <w:r>
        <w:rPr>
          <w:rStyle w:val="None"/>
          <w:rFonts w:ascii="Arial" w:hAnsi="Arial" w:hint="default"/>
          <w:rtl w:val="0"/>
          <w:lang w:val="en-US"/>
        </w:rPr>
        <w:t>£</w:t>
      </w:r>
      <w:r>
        <w:rPr>
          <w:rStyle w:val="None"/>
          <w:rFonts w:ascii="Arial" w:hAnsi="Arial"/>
          <w:rtl w:val="0"/>
          <w:lang w:val="en-US"/>
        </w:rPr>
        <w:t xml:space="preserve">1.8M) taken forward through a range of Community Planning Partners. N.B. The following is a summary of 3 key projects which were evaluated using the </w:t>
      </w:r>
      <w:r>
        <w:rPr>
          <w:rStyle w:val="None"/>
          <w:rFonts w:ascii="Arial" w:hAnsi="Arial" w:hint="default"/>
          <w:rtl w:val="0"/>
          <w:lang w:val="en-US"/>
        </w:rPr>
        <w:t>“</w:t>
      </w:r>
      <w:r>
        <w:rPr>
          <w:rStyle w:val="None"/>
          <w:rFonts w:ascii="Arial" w:hAnsi="Arial"/>
          <w:rtl w:val="0"/>
          <w:lang w:val="en-US"/>
        </w:rPr>
        <w:t>6 attributes for evaluation</w:t>
      </w:r>
      <w:r>
        <w:rPr>
          <w:rStyle w:val="None"/>
          <w:rFonts w:ascii="Arial" w:hAnsi="Arial" w:hint="default"/>
          <w:rtl w:val="0"/>
          <w:lang w:val="en-US"/>
        </w:rPr>
        <w:t xml:space="preserve">” </w:t>
      </w:r>
      <w:r>
        <w:rPr>
          <w:rStyle w:val="None"/>
          <w:rFonts w:ascii="Arial" w:hAnsi="Arial"/>
          <w:rtl w:val="0"/>
          <w:lang w:val="en-US"/>
        </w:rPr>
        <w:t xml:space="preserve">approach which was developed using the RADAR European Foundation for Quality Management (EFQM) Model. The full evaluation report is available here: </w:t>
      </w:r>
      <w:r>
        <w:rPr>
          <w:rStyle w:val="Hyperlink.1"/>
        </w:rPr>
        <w:fldChar w:fldCharType="begin" w:fldLock="0"/>
      </w:r>
      <w:r>
        <w:rPr>
          <w:rStyle w:val="Hyperlink.1"/>
        </w:rPr>
        <w:instrText xml:space="preserve"> HYPERLINK "https://dumfriesgalloway.moderngov.co.uk/documents/s66246/End%2520of%2520Year%2520Evaluation%2520-%2520Appendix%25201%2520-%2520Final.pdf"</w:instrText>
      </w:r>
      <w:r>
        <w:rPr>
          <w:rStyle w:val="Hyperlink.1"/>
        </w:rPr>
        <w:fldChar w:fldCharType="separate" w:fldLock="0"/>
      </w:r>
      <w:r>
        <w:rPr>
          <w:rStyle w:val="Hyperlink.1"/>
          <w:rtl w:val="0"/>
        </w:rPr>
        <w:t>End of Year Evaluation - Appendix 1 - Final.pdf</w:t>
      </w:r>
      <w:r>
        <w:rPr/>
        <w:fldChar w:fldCharType="end" w:fldLock="0"/>
      </w:r>
    </w:p>
    <w:p>
      <w:pPr>
        <w:pStyle w:val="Body"/>
        <w:rPr>
          <w:rStyle w:val="None"/>
          <w:rFonts w:ascii="Arial" w:cs="Arial" w:hAnsi="Arial" w:eastAsia="Arial"/>
          <w:b w:val="1"/>
          <w:bCs w:val="1"/>
          <w:u w:val="single"/>
        </w:rPr>
      </w:pPr>
      <w:r>
        <w:rPr>
          <w:rStyle w:val="None"/>
          <w:rFonts w:ascii="Arial" w:hAnsi="Arial"/>
          <w:b w:val="1"/>
          <w:bCs w:val="1"/>
          <w:u w:val="single"/>
          <w:rtl w:val="0"/>
          <w:lang w:val="en-US"/>
        </w:rPr>
        <w:t>Cost of Living</w:t>
      </w:r>
    </w:p>
    <w:tbl>
      <w:tblPr>
        <w:tblW w:w="1394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1d7"/>
        <w:tblLayout w:type="fixed"/>
      </w:tblPr>
      <w:tblGrid>
        <w:gridCol w:w="4649"/>
        <w:gridCol w:w="4649"/>
        <w:gridCol w:w="4650"/>
      </w:tblGrid>
      <w:tr>
        <w:tblPrEx>
          <w:shd w:val="clear" w:color="auto" w:fill="cad1d7"/>
        </w:tblPrEx>
        <w:trPr>
          <w:trHeight w:val="324" w:hRule="atLeast"/>
        </w:trPr>
        <w:tc>
          <w:tcPr>
            <w:tcW w:type="dxa" w:w="13948"/>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jc w:val="center"/>
            </w:pPr>
            <w:r>
              <w:rPr>
                <w:rStyle w:val="None"/>
                <w:rFonts w:ascii="Arial" w:hAnsi="Arial"/>
                <w:b w:val="1"/>
                <w:bCs w:val="1"/>
                <w:shd w:val="nil" w:color="auto" w:fill="auto"/>
                <w:rtl w:val="0"/>
                <w:lang w:val="en-US"/>
              </w:rPr>
              <w:t>Welfare and Housing Options (</w:t>
            </w:r>
            <w:r>
              <w:rPr>
                <w:rStyle w:val="None"/>
                <w:rFonts w:ascii="Arial" w:hAnsi="Arial" w:hint="default"/>
                <w:b w:val="1"/>
                <w:bCs w:val="1"/>
                <w:shd w:val="nil" w:color="auto" w:fill="auto"/>
                <w:rtl w:val="0"/>
                <w:lang w:val="en-US"/>
              </w:rPr>
              <w:t>£</w:t>
            </w:r>
            <w:r>
              <w:rPr>
                <w:rStyle w:val="None"/>
                <w:rFonts w:ascii="Arial" w:hAnsi="Arial"/>
                <w:b w:val="1"/>
                <w:bCs w:val="1"/>
                <w:shd w:val="nil" w:color="auto" w:fill="auto"/>
                <w:rtl w:val="0"/>
                <w:lang w:val="en-US"/>
              </w:rPr>
              <w:t>165,000)</w:t>
            </w:r>
          </w:p>
        </w:tc>
      </w:tr>
      <w:tr>
        <w:tblPrEx>
          <w:shd w:val="clear" w:color="auto" w:fill="cad1d7"/>
        </w:tblPrEx>
        <w:trPr>
          <w:trHeight w:val="282" w:hRule="atLeast"/>
        </w:trPr>
        <w:tc>
          <w:tcPr>
            <w:tcW w:type="dxa" w:w="46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Style w:val="None"/>
                <w:rFonts w:ascii="Arial" w:hAnsi="Arial"/>
                <w:b w:val="1"/>
                <w:bCs w:val="1"/>
                <w:shd w:val="nil" w:color="auto" w:fill="auto"/>
                <w:rtl w:val="0"/>
                <w:lang w:val="en-US"/>
              </w:rPr>
              <w:t>Sound</w:t>
            </w:r>
          </w:p>
        </w:tc>
        <w:tc>
          <w:tcPr>
            <w:tcW w:type="dxa" w:w="46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Style w:val="None"/>
                <w:rFonts w:ascii="Arial" w:hAnsi="Arial"/>
                <w:b w:val="1"/>
                <w:bCs w:val="1"/>
                <w:shd w:val="nil" w:color="auto" w:fill="auto"/>
                <w:rtl w:val="0"/>
                <w:lang w:val="en-US"/>
              </w:rPr>
              <w:t>Implemented</w:t>
            </w:r>
          </w:p>
        </w:tc>
        <w:tc>
          <w:tcPr>
            <w:tcW w:type="dxa" w:w="46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Style w:val="None"/>
                <w:rFonts w:ascii="Arial" w:hAnsi="Arial"/>
                <w:b w:val="1"/>
                <w:bCs w:val="1"/>
                <w:shd w:val="nil" w:color="auto" w:fill="auto"/>
                <w:rtl w:val="0"/>
                <w:lang w:val="en-US"/>
              </w:rPr>
              <w:t>Results</w:t>
            </w:r>
          </w:p>
        </w:tc>
      </w:tr>
      <w:tr>
        <w:tblPrEx>
          <w:shd w:val="clear" w:color="auto" w:fill="cad1d7"/>
        </w:tblPrEx>
        <w:trPr>
          <w:trHeight w:val="5042" w:hRule="atLeast"/>
        </w:trPr>
        <w:tc>
          <w:tcPr>
            <w:tcW w:type="dxa" w:w="46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rFonts w:ascii="Arial" w:hAnsi="Arial"/>
                <w:shd w:val="nil" w:color="auto" w:fill="auto"/>
                <w:rtl w:val="0"/>
                <w:lang w:val="en-US"/>
              </w:rPr>
              <w:t>This project is to support the Welfare and Housing Option (WHO) Support team to provide a seamless service which helps clients to sustain their tenancies, prevent evictions and address and reduce all debts. From April 2025 onwards, this Project will be moved to mainstream Dumfries &amp; Galloway Council Funding.</w:t>
            </w:r>
          </w:p>
        </w:tc>
        <w:tc>
          <w:tcPr>
            <w:tcW w:type="dxa" w:w="46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rFonts w:ascii="Arial" w:hAnsi="Arial"/>
                <w:shd w:val="nil" w:color="auto" w:fill="auto"/>
                <w:rtl w:val="0"/>
                <w:lang w:val="en-US"/>
              </w:rPr>
              <w:t>Implemented to a huge range of customers requiring different support from tenant grants, discretionary housing payments (DHP), council tax reduction and crisis and homeless prevention grants. The Project continues to be implemented by specialist advisors to a huge number of customers requiring different levels of support which includes homeless prevention grants, discretionary housing payments, council tax reduction grants, crisis grants, housing payments, tenant grants along with additional support to maintain their tenancies.</w:t>
            </w:r>
          </w:p>
        </w:tc>
        <w:tc>
          <w:tcPr>
            <w:tcW w:type="dxa" w:w="46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rFonts w:ascii="Arial" w:hAnsi="Arial"/>
                <w:shd w:val="nil" w:color="auto" w:fill="auto"/>
                <w:rtl w:val="0"/>
                <w:lang w:val="en-US"/>
              </w:rPr>
              <w:t xml:space="preserve">In 2024/25 the Welfare and Housing Options team have assisted 396 clients. Assistance has been provided to address rent arrears and potential eviction. Clients have been helped to claim additional benefits with a value of </w:t>
            </w:r>
            <w:r>
              <w:rPr>
                <w:rStyle w:val="None"/>
                <w:rFonts w:ascii="Arial" w:hAnsi="Arial" w:hint="default"/>
                <w:shd w:val="nil" w:color="auto" w:fill="auto"/>
                <w:rtl w:val="0"/>
                <w:lang w:val="en-US"/>
              </w:rPr>
              <w:t>£</w:t>
            </w:r>
            <w:r>
              <w:rPr>
                <w:rStyle w:val="None"/>
                <w:rFonts w:ascii="Arial" w:hAnsi="Arial"/>
                <w:shd w:val="nil" w:color="auto" w:fill="auto"/>
                <w:rtl w:val="0"/>
                <w:lang w:val="en-US"/>
              </w:rPr>
              <w:t xml:space="preserve">723,000, and address debts in other areas, such as Council Tax. A detailed case study highlighted the impact on a customer receiving support that included a wide range of support which is normal for every case completed. The customer advised this had been a huge and heavy rucksack on their back for so long and it had been lifted, and they could never repay and thank us enough for all the support and in clearing these arrears. It gave them an opportunity of a fresh start. </w:t>
            </w:r>
          </w:p>
        </w:tc>
      </w:tr>
      <w:tr>
        <w:tblPrEx>
          <w:shd w:val="clear" w:color="auto" w:fill="cad1d7"/>
        </w:tblPrEx>
        <w:trPr>
          <w:trHeight w:val="282" w:hRule="atLeast"/>
        </w:trPr>
        <w:tc>
          <w:tcPr>
            <w:tcW w:type="dxa" w:w="13948"/>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Style w:val="None"/>
                <w:rFonts w:ascii="Arial" w:hAnsi="Arial"/>
                <w:b w:val="1"/>
                <w:bCs w:val="1"/>
                <w:shd w:val="nil" w:color="auto" w:fill="auto"/>
                <w:rtl w:val="0"/>
                <w:lang w:val="en-US"/>
              </w:rPr>
              <w:t>Fareshare Membership for Community Groups (</w:t>
            </w:r>
            <w:r>
              <w:rPr>
                <w:rStyle w:val="None"/>
                <w:rFonts w:ascii="Arial" w:hAnsi="Arial" w:hint="default"/>
                <w:b w:val="1"/>
                <w:bCs w:val="1"/>
                <w:shd w:val="nil" w:color="auto" w:fill="auto"/>
                <w:rtl w:val="0"/>
                <w:lang w:val="en-US"/>
              </w:rPr>
              <w:t>£</w:t>
            </w:r>
            <w:r>
              <w:rPr>
                <w:rStyle w:val="None"/>
                <w:rFonts w:ascii="Arial" w:hAnsi="Arial"/>
                <w:b w:val="1"/>
                <w:bCs w:val="1"/>
                <w:shd w:val="nil" w:color="auto" w:fill="auto"/>
                <w:rtl w:val="0"/>
                <w:lang w:val="en-US"/>
              </w:rPr>
              <w:t>56,000)</w:t>
            </w:r>
          </w:p>
        </w:tc>
      </w:tr>
      <w:tr>
        <w:tblPrEx>
          <w:shd w:val="clear" w:color="auto" w:fill="cad1d7"/>
        </w:tblPrEx>
        <w:trPr>
          <w:trHeight w:val="282" w:hRule="atLeast"/>
        </w:trPr>
        <w:tc>
          <w:tcPr>
            <w:tcW w:type="dxa" w:w="46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Style w:val="None"/>
                <w:rFonts w:ascii="Arial" w:hAnsi="Arial"/>
                <w:b w:val="1"/>
                <w:bCs w:val="1"/>
                <w:shd w:val="nil" w:color="auto" w:fill="auto"/>
                <w:rtl w:val="0"/>
                <w:lang w:val="en-US"/>
              </w:rPr>
              <w:t>Sound</w:t>
            </w:r>
          </w:p>
        </w:tc>
        <w:tc>
          <w:tcPr>
            <w:tcW w:type="dxa" w:w="46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Style w:val="None"/>
                <w:rFonts w:ascii="Arial" w:hAnsi="Arial"/>
                <w:b w:val="1"/>
                <w:bCs w:val="1"/>
                <w:shd w:val="nil" w:color="auto" w:fill="auto"/>
                <w:rtl w:val="0"/>
                <w:lang w:val="en-US"/>
              </w:rPr>
              <w:t>Implemented</w:t>
            </w:r>
          </w:p>
        </w:tc>
        <w:tc>
          <w:tcPr>
            <w:tcW w:type="dxa" w:w="46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Style w:val="None"/>
                <w:rFonts w:ascii="Arial" w:hAnsi="Arial"/>
                <w:b w:val="1"/>
                <w:bCs w:val="1"/>
                <w:shd w:val="nil" w:color="auto" w:fill="auto"/>
                <w:rtl w:val="0"/>
                <w:lang w:val="en-US"/>
              </w:rPr>
              <w:t>Results</w:t>
            </w:r>
          </w:p>
        </w:tc>
      </w:tr>
      <w:tr>
        <w:tblPrEx>
          <w:shd w:val="clear" w:color="auto" w:fill="cad1d7"/>
        </w:tblPrEx>
        <w:trPr>
          <w:trHeight w:val="5882" w:hRule="atLeast"/>
        </w:trPr>
        <w:tc>
          <w:tcPr>
            <w:tcW w:type="dxa" w:w="46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rFonts w:ascii="Arial" w:hAnsi="Arial"/>
                <w:shd w:val="nil" w:color="auto" w:fill="auto"/>
                <w:rtl w:val="0"/>
                <w:lang w:val="en-US"/>
              </w:rPr>
              <w:t>To continue to provide Fareshare membership to 19 organisations throughout our Region with a total of 17 community groups in D and G supported providing surplus nutritious food from Fareshare. This Project provides surplus food on a weekly basis to Food Providers throughout our Region</w:t>
            </w:r>
          </w:p>
        </w:tc>
        <w:tc>
          <w:tcPr>
            <w:tcW w:type="dxa" w:w="46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rFonts w:ascii="Arial" w:hAnsi="Arial"/>
                <w:shd w:val="nil" w:color="auto" w:fill="auto"/>
                <w:rtl w:val="0"/>
                <w:lang w:val="en-US"/>
              </w:rPr>
              <w:t xml:space="preserve">Deployed across Dumfries and Galloway in different areas to create better balance of provision for customers. Fareshare Memberships were originally allocated with the aim to cover all areas of our Region. This provides a higher level of provision of surplus food than would otherwise be available within each area who benefit from Fareshare Memberships. </w:t>
            </w:r>
          </w:p>
        </w:tc>
        <w:tc>
          <w:tcPr>
            <w:tcW w:type="dxa" w:w="46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rPr>
                <w:rStyle w:val="None"/>
                <w:rFonts w:ascii="Arial" w:cs="Arial" w:hAnsi="Arial" w:eastAsia="Arial"/>
                <w:shd w:val="nil" w:color="auto" w:fill="auto"/>
              </w:rPr>
            </w:pPr>
            <w:r>
              <w:rPr>
                <w:rStyle w:val="None"/>
                <w:rFonts w:ascii="Arial" w:hAnsi="Arial"/>
                <w:shd w:val="nil" w:color="auto" w:fill="auto"/>
                <w:rtl w:val="0"/>
                <w:lang w:val="en-US"/>
              </w:rPr>
              <w:t xml:space="preserve">The Project results for 2024/2025 are as follows: Over 219 tonnes of food delivered through Fareshare, which in turn enabled foodbanks to provide essential supplies for 522,448 meals. This is an equivalent food costs of over </w:t>
            </w:r>
            <w:r>
              <w:rPr>
                <w:rStyle w:val="None"/>
                <w:rFonts w:ascii="Arial" w:hAnsi="Arial" w:hint="default"/>
                <w:shd w:val="nil" w:color="auto" w:fill="auto"/>
                <w:rtl w:val="0"/>
                <w:lang w:val="en-US"/>
              </w:rPr>
              <w:t>£</w:t>
            </w:r>
            <w:r>
              <w:rPr>
                <w:rStyle w:val="None"/>
                <w:rFonts w:ascii="Arial" w:hAnsi="Arial"/>
                <w:shd w:val="nil" w:color="auto" w:fill="auto"/>
                <w:rtl w:val="0"/>
                <w:lang w:val="en-US"/>
              </w:rPr>
              <w:t>816, 670 with 211 tonnes of food diverted from landfill</w:t>
            </w:r>
          </w:p>
          <w:p>
            <w:pPr>
              <w:pStyle w:val="Body"/>
              <w:spacing w:after="0" w:line="240" w:lineRule="auto"/>
              <w:rPr>
                <w:rStyle w:val="None"/>
                <w:rFonts w:ascii="Arial" w:cs="Arial" w:hAnsi="Arial" w:eastAsia="Arial"/>
                <w:shd w:val="nil" w:color="auto" w:fill="auto"/>
                <w:lang w:val="en-US"/>
              </w:rPr>
            </w:pPr>
          </w:p>
          <w:p>
            <w:pPr>
              <w:pStyle w:val="Body"/>
              <w:bidi w:val="0"/>
              <w:spacing w:after="0" w:line="240" w:lineRule="auto"/>
              <w:ind w:left="0" w:right="0" w:firstLine="0"/>
              <w:jc w:val="left"/>
              <w:rPr>
                <w:rtl w:val="0"/>
              </w:rPr>
            </w:pPr>
            <w:r>
              <w:rPr>
                <w:rStyle w:val="None"/>
                <w:rFonts w:ascii="Arial" w:hAnsi="Arial"/>
                <w:shd w:val="nil" w:color="auto" w:fill="auto"/>
                <w:rtl w:val="0"/>
                <w:lang w:val="en-US"/>
              </w:rPr>
              <w:t>The project is making a significant impact with foodbank users/customers who are single parents/ and working part time. Providing a range of food that otherwise wouldn</w:t>
            </w:r>
            <w:r>
              <w:rPr>
                <w:rStyle w:val="None"/>
                <w:rFonts w:ascii="Arial" w:hAnsi="Arial" w:hint="default"/>
                <w:shd w:val="nil" w:color="auto" w:fill="auto"/>
                <w:rtl w:val="0"/>
                <w:lang w:val="en-US"/>
              </w:rPr>
              <w:t>’</w:t>
            </w:r>
            <w:r>
              <w:rPr>
                <w:rStyle w:val="None"/>
                <w:rFonts w:ascii="Arial" w:hAnsi="Arial"/>
                <w:shd w:val="nil" w:color="auto" w:fill="auto"/>
                <w:rtl w:val="0"/>
                <w:lang w:val="en-US"/>
              </w:rPr>
              <w:t>t be possible given rise in costs of food in supermarkets along with increasing their capacity to cook has helped shield the families from more financial challenges. Fairshare continues to make a significantly large impact and reduction on food insecurity within our region.</w:t>
            </w:r>
          </w:p>
        </w:tc>
      </w:tr>
      <w:tr>
        <w:tblPrEx>
          <w:shd w:val="clear" w:color="auto" w:fill="cad1d7"/>
        </w:tblPrEx>
        <w:trPr>
          <w:trHeight w:val="282" w:hRule="atLeast"/>
        </w:trPr>
        <w:tc>
          <w:tcPr>
            <w:tcW w:type="dxa" w:w="13948"/>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Style w:val="None"/>
                <w:rFonts w:ascii="Arial" w:hAnsi="Arial"/>
                <w:b w:val="1"/>
                <w:bCs w:val="1"/>
                <w:shd w:val="nil" w:color="auto" w:fill="auto"/>
                <w:rtl w:val="0"/>
                <w:lang w:val="en-US"/>
              </w:rPr>
              <w:t>Summer of Play programme for Children and Young People (</w:t>
            </w:r>
            <w:r>
              <w:rPr>
                <w:rStyle w:val="None"/>
                <w:rFonts w:ascii="Arial" w:hAnsi="Arial" w:hint="default"/>
                <w:b w:val="1"/>
                <w:bCs w:val="1"/>
                <w:shd w:val="nil" w:color="auto" w:fill="auto"/>
                <w:rtl w:val="0"/>
                <w:lang w:val="en-US"/>
              </w:rPr>
              <w:t>£</w:t>
            </w:r>
            <w:r>
              <w:rPr>
                <w:rStyle w:val="None"/>
                <w:rFonts w:ascii="Arial" w:hAnsi="Arial"/>
                <w:b w:val="1"/>
                <w:bCs w:val="1"/>
                <w:shd w:val="nil" w:color="auto" w:fill="auto"/>
                <w:rtl w:val="0"/>
                <w:lang w:val="en-US"/>
              </w:rPr>
              <w:t>264,000)</w:t>
            </w:r>
          </w:p>
        </w:tc>
      </w:tr>
      <w:tr>
        <w:tblPrEx>
          <w:shd w:val="clear" w:color="auto" w:fill="cad1d7"/>
        </w:tblPrEx>
        <w:trPr>
          <w:trHeight w:val="282" w:hRule="atLeast"/>
        </w:trPr>
        <w:tc>
          <w:tcPr>
            <w:tcW w:type="dxa" w:w="46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Style w:val="None"/>
                <w:rFonts w:ascii="Arial" w:hAnsi="Arial"/>
                <w:b w:val="1"/>
                <w:bCs w:val="1"/>
                <w:shd w:val="nil" w:color="auto" w:fill="auto"/>
                <w:rtl w:val="0"/>
                <w:lang w:val="en-US"/>
              </w:rPr>
              <w:t>Sound</w:t>
            </w:r>
          </w:p>
        </w:tc>
        <w:tc>
          <w:tcPr>
            <w:tcW w:type="dxa" w:w="46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Style w:val="None"/>
                <w:rFonts w:ascii="Arial" w:hAnsi="Arial"/>
                <w:b w:val="1"/>
                <w:bCs w:val="1"/>
                <w:shd w:val="nil" w:color="auto" w:fill="auto"/>
                <w:rtl w:val="0"/>
                <w:lang w:val="en-US"/>
              </w:rPr>
              <w:t>Implemented</w:t>
            </w:r>
          </w:p>
        </w:tc>
        <w:tc>
          <w:tcPr>
            <w:tcW w:type="dxa" w:w="46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Style w:val="None"/>
                <w:rFonts w:ascii="Arial" w:hAnsi="Arial"/>
                <w:b w:val="1"/>
                <w:bCs w:val="1"/>
                <w:shd w:val="nil" w:color="auto" w:fill="auto"/>
                <w:rtl w:val="0"/>
                <w:lang w:val="en-US"/>
              </w:rPr>
              <w:t>Results</w:t>
            </w:r>
          </w:p>
        </w:tc>
      </w:tr>
      <w:tr>
        <w:tblPrEx>
          <w:shd w:val="clear" w:color="auto" w:fill="cad1d7"/>
        </w:tblPrEx>
        <w:trPr>
          <w:trHeight w:val="6170" w:hRule="atLeast"/>
        </w:trPr>
        <w:tc>
          <w:tcPr>
            <w:tcW w:type="dxa" w:w="46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rFonts w:ascii="Arial" w:hAnsi="Arial"/>
                <w:shd w:val="nil" w:color="auto" w:fill="auto"/>
                <w:rtl w:val="0"/>
                <w:lang w:val="en-US"/>
              </w:rPr>
              <w:t>The Summer of Play offer specifically targeted children and young people who sit within the six priority groups as included within our region</w:t>
            </w:r>
            <w:r>
              <w:rPr>
                <w:rStyle w:val="None"/>
                <w:rFonts w:ascii="Arial" w:hAnsi="Arial" w:hint="default"/>
                <w:shd w:val="nil" w:color="auto" w:fill="auto"/>
                <w:rtl w:val="0"/>
                <w:lang w:val="en-US"/>
              </w:rPr>
              <w:t>’</w:t>
            </w:r>
            <w:r>
              <w:rPr>
                <w:rStyle w:val="None"/>
                <w:rFonts w:ascii="Arial" w:hAnsi="Arial"/>
                <w:shd w:val="nil" w:color="auto" w:fill="auto"/>
                <w:rtl w:val="0"/>
                <w:lang w:val="en-US"/>
              </w:rPr>
              <w:t>s Children</w:t>
            </w:r>
            <w:r>
              <w:rPr>
                <w:rStyle w:val="None"/>
                <w:rFonts w:ascii="Arial" w:hAnsi="Arial" w:hint="default"/>
                <w:shd w:val="nil" w:color="auto" w:fill="auto"/>
                <w:rtl w:val="0"/>
                <w:lang w:val="en-US"/>
              </w:rPr>
              <w:t>’</w:t>
            </w:r>
            <w:r>
              <w:rPr>
                <w:rStyle w:val="None"/>
                <w:rFonts w:ascii="Arial" w:hAnsi="Arial"/>
                <w:shd w:val="nil" w:color="auto" w:fill="auto"/>
                <w:rtl w:val="0"/>
                <w:lang w:val="en-US"/>
              </w:rPr>
              <w:t>s</w:t>
            </w:r>
            <w:r>
              <w:rPr>
                <w:rStyle w:val="None"/>
                <w:rFonts w:ascii="Aptos" w:cs="Aptos" w:hAnsi="Aptos" w:eastAsia="Aptos"/>
                <w:shd w:val="nil" w:color="auto" w:fill="auto"/>
                <w:rtl w:val="0"/>
                <w:lang w:val="en-US"/>
              </w:rPr>
              <w:t xml:space="preserve"> </w:t>
            </w:r>
            <w:r>
              <w:rPr>
                <w:rStyle w:val="None"/>
                <w:rFonts w:ascii="Arial" w:hAnsi="Arial"/>
                <w:shd w:val="nil" w:color="auto" w:fill="auto"/>
                <w:rtl w:val="0"/>
                <w:lang w:val="en-US"/>
              </w:rPr>
              <w:t>Poverty Plan. All funding was used to distribute grants to Third Sector organisations and Council Services to run Summer activity programmes in local communities across Dumfries and Galloway. Grants were distributed following an application process, and applications were scored by an independent scoring panel.</w:t>
            </w:r>
          </w:p>
        </w:tc>
        <w:tc>
          <w:tcPr>
            <w:tcW w:type="dxa" w:w="46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rFonts w:ascii="Arial" w:hAnsi="Arial"/>
                <w:shd w:val="nil" w:color="auto" w:fill="auto"/>
                <w:rtl w:val="0"/>
                <w:lang w:val="en-US"/>
              </w:rPr>
              <w:t>The activities on offer were across all 12 Ward areas with a focus on food provision, were entirely free to access, as well as ensuring that this work was targeted towards children and young people from low income and vulnerable households, and also those who sit within the 6 - priority groups as identified in our regions Child Poverty Plan. Summer of Play supported 36 Third Sector organisations and 6 Council services to provide activities and programmes for our region</w:t>
            </w:r>
            <w:r>
              <w:rPr>
                <w:rStyle w:val="None"/>
                <w:rFonts w:ascii="Arial" w:hAnsi="Arial" w:hint="default"/>
                <w:shd w:val="nil" w:color="auto" w:fill="auto"/>
                <w:rtl w:val="0"/>
                <w:lang w:val="en-US"/>
              </w:rPr>
              <w:t>’</w:t>
            </w:r>
            <w:r>
              <w:rPr>
                <w:rStyle w:val="None"/>
                <w:rFonts w:ascii="Arial" w:hAnsi="Arial"/>
                <w:shd w:val="nil" w:color="auto" w:fill="auto"/>
                <w:rtl w:val="0"/>
                <w:lang w:val="en-US"/>
              </w:rPr>
              <w:t>s most vulnerable children and young people. As well as Service provision, the funding has also been used for significant investment into local communities and to support organisations and their staff</w:t>
            </w:r>
          </w:p>
        </w:tc>
        <w:tc>
          <w:tcPr>
            <w:tcW w:type="dxa" w:w="46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rFonts w:ascii="Arial" w:hAnsi="Arial"/>
                <w:shd w:val="nil" w:color="auto" w:fill="auto"/>
                <w:rtl w:val="0"/>
                <w:lang w:val="en-US"/>
              </w:rPr>
              <w:t>Through the Monitoring and Evaluation Reports that were submitted as part of the fund, we know that 9,417 unique children and young people in Dumfries and Galloway took part in at least one of the activities on offer. We were also able to look at the target groups as identified within the Children</w:t>
            </w:r>
            <w:r>
              <w:rPr>
                <w:rStyle w:val="None"/>
                <w:rFonts w:ascii="Arial" w:hAnsi="Arial" w:hint="default"/>
                <w:shd w:val="nil" w:color="auto" w:fill="auto"/>
                <w:rtl w:val="0"/>
                <w:lang w:val="en-US"/>
              </w:rPr>
              <w:t>’</w:t>
            </w:r>
            <w:r>
              <w:rPr>
                <w:rStyle w:val="None"/>
                <w:rFonts w:ascii="Arial" w:hAnsi="Arial"/>
                <w:shd w:val="nil" w:color="auto" w:fill="auto"/>
                <w:rtl w:val="0"/>
                <w:lang w:val="en-US"/>
              </w:rPr>
              <w:t>s Poverty Plan who accessed activities ran using Summer of Play funding: Lone Parent Families: 27% Families which include a disabled adult or child: 25% Larger Families (3 or more children): 23% Minority Ethnic Families: 8% Families with a child under 1</w:t>
            </w:r>
            <w:r>
              <w:rPr>
                <w:rStyle w:val="None"/>
                <w:rFonts w:ascii="Aptos" w:cs="Aptos" w:hAnsi="Aptos" w:eastAsia="Aptos"/>
                <w:shd w:val="nil" w:color="auto" w:fill="auto"/>
                <w:rtl w:val="0"/>
                <w:lang w:val="en-US"/>
              </w:rPr>
              <w:t xml:space="preserve"> </w:t>
            </w:r>
            <w:r>
              <w:rPr>
                <w:rStyle w:val="None"/>
                <w:rFonts w:ascii="Arial" w:hAnsi="Arial"/>
                <w:shd w:val="nil" w:color="auto" w:fill="auto"/>
                <w:rtl w:val="0"/>
                <w:lang w:val="en-US"/>
              </w:rPr>
              <w:t>year old in the household: 12% Families where the mother is under 25 years of age: 5% The Summer of Play funding scheme has provided organisations with the means to do a significant amount of work in order to provide support and opportunities to our region</w:t>
            </w:r>
            <w:r>
              <w:rPr>
                <w:rStyle w:val="None"/>
                <w:rFonts w:ascii="Arial" w:hAnsi="Arial" w:hint="default"/>
                <w:shd w:val="nil" w:color="auto" w:fill="auto"/>
                <w:rtl w:val="0"/>
                <w:lang w:val="en-US"/>
              </w:rPr>
              <w:t>’</w:t>
            </w:r>
            <w:r>
              <w:rPr>
                <w:rStyle w:val="None"/>
                <w:rFonts w:ascii="Arial" w:hAnsi="Arial"/>
                <w:shd w:val="nil" w:color="auto" w:fill="auto"/>
                <w:rtl w:val="0"/>
                <w:lang w:val="en-US"/>
              </w:rPr>
              <w:t>s most vulnerable children and young people.</w:t>
            </w:r>
          </w:p>
        </w:tc>
      </w:tr>
    </w:tbl>
    <w:p>
      <w:pPr>
        <w:pStyle w:val="Body"/>
        <w:widowControl w:val="0"/>
        <w:spacing w:line="240" w:lineRule="auto"/>
        <w:rPr>
          <w:rStyle w:val="None"/>
          <w:rFonts w:ascii="Arial" w:cs="Arial" w:hAnsi="Arial" w:eastAsia="Arial"/>
          <w:b w:val="1"/>
          <w:bCs w:val="1"/>
          <w:u w:val="single"/>
        </w:rPr>
      </w:pPr>
    </w:p>
    <w:p>
      <w:pPr>
        <w:pStyle w:val="Body"/>
        <w:rPr>
          <w:rStyle w:val="None"/>
          <w:rFonts w:ascii="Arial" w:cs="Arial" w:hAnsi="Arial" w:eastAsia="Arial"/>
          <w:u w:val="single"/>
        </w:rPr>
      </w:pPr>
    </w:p>
    <w:p>
      <w:pPr>
        <w:pStyle w:val="Body"/>
        <w:shd w:val="clear" w:color="auto" w:fill="ffffff"/>
        <w:rPr>
          <w:rStyle w:val="None"/>
          <w:rFonts w:ascii="Arial" w:cs="Arial" w:hAnsi="Arial" w:eastAsia="Arial"/>
          <w:b w:val="1"/>
          <w:bCs w:val="1"/>
          <w:u w:val="single"/>
        </w:rPr>
      </w:pPr>
      <w:r>
        <w:rPr>
          <w:rStyle w:val="None"/>
          <w:rFonts w:ascii="Arial" w:hAnsi="Arial"/>
          <w:b w:val="1"/>
          <w:bCs w:val="1"/>
          <w:u w:val="single"/>
          <w:rtl w:val="0"/>
          <w:lang w:val="en-US"/>
        </w:rPr>
        <w:t>Mental Health support taken forward through Children</w:t>
      </w:r>
      <w:r>
        <w:rPr>
          <w:rStyle w:val="None"/>
          <w:rFonts w:ascii="Arial" w:hAnsi="Arial" w:hint="default"/>
          <w:b w:val="1"/>
          <w:bCs w:val="1"/>
          <w:u w:val="single"/>
          <w:rtl w:val="0"/>
          <w:lang w:val="en-US"/>
        </w:rPr>
        <w:t>’</w:t>
      </w:r>
      <w:r>
        <w:rPr>
          <w:rStyle w:val="None"/>
          <w:rFonts w:ascii="Arial" w:hAnsi="Arial"/>
          <w:b w:val="1"/>
          <w:bCs w:val="1"/>
          <w:u w:val="single"/>
          <w:rtl w:val="0"/>
          <w:lang w:val="en-US"/>
        </w:rPr>
        <w:t>s Services Strategic and Planning Partnership</w:t>
      </w:r>
    </w:p>
    <w:p>
      <w:pPr>
        <w:pStyle w:val="Body"/>
        <w:shd w:val="clear" w:color="auto" w:fill="ffffff"/>
        <w:rPr>
          <w:rStyle w:val="None"/>
          <w:rFonts w:ascii="Arial" w:cs="Arial" w:hAnsi="Arial" w:eastAsia="Arial"/>
          <w:u w:val="single"/>
        </w:rPr>
      </w:pPr>
      <w:r>
        <w:rPr>
          <w:rStyle w:val="None"/>
          <w:rFonts w:ascii="Arial" w:hAnsi="Arial"/>
          <w:rtl w:val="0"/>
          <w:lang w:val="en-US"/>
        </w:rPr>
        <w:t>Since the Covid-19 pandemic, demand for mental health support has increased both locally and nationally. We have seen more referrals to the School Nursing Service on mental health grounds, and we have more children and young people who are not attending school for anxiety-related reasons.</w:t>
      </w:r>
    </w:p>
    <w:p>
      <w:pPr>
        <w:pStyle w:val="Body"/>
        <w:shd w:val="clear" w:color="auto" w:fill="ffffff"/>
        <w:rPr>
          <w:rStyle w:val="None"/>
          <w:rFonts w:ascii="Arial" w:cs="Arial" w:hAnsi="Arial" w:eastAsia="Arial"/>
        </w:rPr>
      </w:pPr>
      <w:r>
        <w:rPr>
          <w:rStyle w:val="None"/>
          <w:rFonts w:ascii="Arial" w:hAnsi="Arial"/>
          <w:u w:val="single"/>
          <w:rtl w:val="0"/>
          <w:lang w:val="fr-FR"/>
        </w:rPr>
        <w:t>Actions</w:t>
      </w:r>
      <w:r>
        <w:rPr>
          <w:rStyle w:val="None"/>
          <w:rFonts w:ascii="Arial" w:hAnsi="Arial"/>
          <w:rtl w:val="0"/>
        </w:rPr>
        <w:t xml:space="preserve"> </w:t>
      </w:r>
    </w:p>
    <w:p>
      <w:pPr>
        <w:pStyle w:val="Body"/>
        <w:shd w:val="clear" w:color="auto" w:fill="ffffff"/>
        <w:rPr>
          <w:rStyle w:val="None"/>
          <w:rFonts w:ascii="Arial" w:cs="Arial" w:hAnsi="Arial" w:eastAsia="Arial"/>
        </w:rPr>
      </w:pPr>
      <w:r>
        <w:rPr>
          <w:rStyle w:val="None"/>
          <w:rFonts w:ascii="Arial" w:hAnsi="Arial"/>
          <w:rtl w:val="0"/>
          <w:lang w:val="en-US"/>
        </w:rPr>
        <w:t>1. To ensure that all children and young people have access to the mental health and wellbeing support that they need when they need it. This includes a breadth of access, close to home and in a timely manner, matched to the needs expressed:</w:t>
      </w:r>
    </w:p>
    <w:p>
      <w:pPr>
        <w:pStyle w:val="Body"/>
        <w:shd w:val="clear" w:color="auto" w:fill="ffffff"/>
        <w:rPr>
          <w:rStyle w:val="None"/>
          <w:rFonts w:ascii="Arial" w:cs="Arial" w:hAnsi="Arial" w:eastAsia="Arial"/>
        </w:rPr>
      </w:pPr>
      <w:r>
        <w:rPr>
          <w:rStyle w:val="None"/>
          <w:rFonts w:ascii="Arial" w:hAnsi="Arial" w:hint="default"/>
          <w:rtl w:val="0"/>
          <w:lang w:val="en-US"/>
        </w:rPr>
        <w:t xml:space="preserve">• </w:t>
      </w:r>
      <w:r>
        <w:rPr>
          <w:rStyle w:val="None"/>
          <w:rFonts w:ascii="Arial" w:hAnsi="Arial"/>
          <w:rtl w:val="0"/>
          <w:lang w:val="en-US"/>
        </w:rPr>
        <w:t xml:space="preserve">Development of a Mental Health Pathway </w:t>
      </w:r>
    </w:p>
    <w:p>
      <w:pPr>
        <w:pStyle w:val="Body"/>
        <w:shd w:val="clear" w:color="auto" w:fill="ffffff"/>
        <w:rPr>
          <w:rStyle w:val="None"/>
          <w:rFonts w:ascii="Arial" w:cs="Arial" w:hAnsi="Arial" w:eastAsia="Arial"/>
        </w:rPr>
      </w:pPr>
      <w:r>
        <w:rPr>
          <w:rStyle w:val="None"/>
          <w:rFonts w:ascii="Arial" w:hAnsi="Arial" w:hint="default"/>
          <w:rtl w:val="0"/>
          <w:lang w:val="en-US"/>
        </w:rPr>
        <w:t xml:space="preserve">• </w:t>
      </w:r>
      <w:r>
        <w:rPr>
          <w:rStyle w:val="None"/>
          <w:rFonts w:ascii="Arial" w:hAnsi="Arial"/>
          <w:rtl w:val="0"/>
          <w:lang w:val="en-US"/>
        </w:rPr>
        <w:t xml:space="preserve">Development of web-based resources based on engagement with children, young people and parents/carers </w:t>
      </w:r>
    </w:p>
    <w:p>
      <w:pPr>
        <w:pStyle w:val="Body"/>
        <w:shd w:val="clear" w:color="auto" w:fill="ffffff"/>
        <w:rPr>
          <w:rStyle w:val="None"/>
          <w:rFonts w:ascii="Arial" w:cs="Arial" w:hAnsi="Arial" w:eastAsia="Arial"/>
        </w:rPr>
      </w:pPr>
      <w:r>
        <w:rPr>
          <w:rStyle w:val="None"/>
          <w:rFonts w:ascii="Arial" w:hAnsi="Arial" w:hint="default"/>
          <w:rtl w:val="0"/>
          <w:lang w:val="en-US"/>
        </w:rPr>
        <w:t xml:space="preserve">• </w:t>
      </w:r>
      <w:r>
        <w:rPr>
          <w:rStyle w:val="None"/>
          <w:rFonts w:ascii="Arial" w:hAnsi="Arial"/>
          <w:rtl w:val="0"/>
          <w:lang w:val="en-US"/>
        </w:rPr>
        <w:t xml:space="preserve">Addressing national priorities including the implementation of a range of low-level mental health and psychological approaches. </w:t>
      </w:r>
    </w:p>
    <w:p>
      <w:pPr>
        <w:pStyle w:val="Body"/>
        <w:shd w:val="clear" w:color="auto" w:fill="ffffff"/>
        <w:rPr>
          <w:rStyle w:val="None"/>
          <w:rFonts w:ascii="Arial" w:cs="Arial" w:hAnsi="Arial" w:eastAsia="Arial"/>
        </w:rPr>
      </w:pPr>
      <w:r>
        <w:rPr>
          <w:rStyle w:val="None"/>
          <w:rFonts w:ascii="Arial" w:hAnsi="Arial"/>
          <w:rtl w:val="0"/>
          <w:lang w:val="en-US"/>
        </w:rPr>
        <w:t xml:space="preserve">2. To ensure the recognition and early intervention for perinatal mental health issues and to improve access to psychological and mental health services. This includes: </w:t>
      </w:r>
    </w:p>
    <w:p>
      <w:pPr>
        <w:pStyle w:val="Body"/>
        <w:shd w:val="clear" w:color="auto" w:fill="ffffff"/>
        <w:rPr>
          <w:rStyle w:val="None"/>
          <w:rFonts w:ascii="Arial" w:cs="Arial" w:hAnsi="Arial" w:eastAsia="Arial"/>
        </w:rPr>
      </w:pPr>
      <w:r>
        <w:rPr>
          <w:rStyle w:val="None"/>
          <w:rFonts w:ascii="Arial" w:hAnsi="Arial" w:hint="default"/>
          <w:rtl w:val="0"/>
          <w:lang w:val="en-US"/>
        </w:rPr>
        <w:t xml:space="preserve">• </w:t>
      </w:r>
      <w:r>
        <w:rPr>
          <w:rStyle w:val="None"/>
          <w:rFonts w:ascii="Arial" w:hAnsi="Arial"/>
          <w:rtl w:val="0"/>
          <w:lang w:val="en-US"/>
        </w:rPr>
        <w:t xml:space="preserve">Development of an integrated care pathway that addresses identified gaps in specific areas </w:t>
      </w:r>
      <w:r>
        <w:rPr>
          <w:rStyle w:val="None"/>
          <w:rFonts w:ascii="Arial" w:hAnsi="Arial" w:hint="default"/>
          <w:rtl w:val="0"/>
          <w:lang w:val="en-US"/>
        </w:rPr>
        <w:t xml:space="preserve">– </w:t>
      </w:r>
      <w:r>
        <w:rPr>
          <w:rStyle w:val="None"/>
          <w:rFonts w:ascii="Arial" w:hAnsi="Arial"/>
          <w:rtl w:val="0"/>
          <w:lang w:val="en-US"/>
        </w:rPr>
        <w:t>this is about addressing identified gaps, like support for birth-</w:t>
      </w:r>
      <w:r>
        <w:rPr>
          <w:rStyle w:val="wacimagecontainer"/>
          <w:rtl w:val="0"/>
        </w:rPr>
        <w:t xml:space="preserve"> </w:t>
      </w:r>
      <w:r>
        <w:rPr>
          <w:rStyle w:val="None"/>
          <w:rFonts w:ascii="Arial" w:hAnsi="Arial"/>
          <w:rtl w:val="0"/>
          <w:lang w:val="en-US"/>
        </w:rPr>
        <w:t>trauma and baby-loss, and working with service-users to identify further gaps and shape services.</w:t>
      </w:r>
    </w:p>
    <w:p>
      <w:pPr>
        <w:pStyle w:val="Body"/>
        <w:shd w:val="clear" w:color="auto" w:fill="ffffff"/>
        <w:spacing w:after="0" w:line="240" w:lineRule="auto"/>
        <w:rPr>
          <w:rStyle w:val="None"/>
          <w:rFonts w:ascii="Arial" w:cs="Arial" w:hAnsi="Arial" w:eastAsia="Arial"/>
        </w:rPr>
      </w:pPr>
      <w:r>
        <w:rPr>
          <w:rStyle w:val="None"/>
          <w:rFonts w:ascii="Arial" w:hAnsi="Arial"/>
          <w:rtl w:val="0"/>
          <w:lang w:val="en-US"/>
        </w:rPr>
        <w:t xml:space="preserve">The Mental Health Pathway was finalised during the reporting year, and is available here. </w:t>
      </w:r>
      <w:r>
        <w:rPr>
          <w:rStyle w:val="Hyperlink.0"/>
        </w:rPr>
        <w:fldChar w:fldCharType="begin" w:fldLock="0"/>
      </w:r>
      <w:r>
        <w:rPr>
          <w:rStyle w:val="Hyperlink.0"/>
        </w:rPr>
        <w:instrText xml:space="preserve"> HYPERLINK "https://blogs.glowscotland.org.uk/dg/public/girfecdgresourcesforstaff/uploads/sites/8845/2024/11/19095642/Mental-Health-Pathway.pdf"</w:instrText>
      </w:r>
      <w:r>
        <w:rPr>
          <w:rStyle w:val="Hyperlink.0"/>
        </w:rPr>
        <w:fldChar w:fldCharType="separate" w:fldLock="0"/>
      </w:r>
      <w:r>
        <w:rPr>
          <w:rStyle w:val="Hyperlink.0"/>
          <w:rtl w:val="0"/>
          <w:lang w:val="en-US"/>
        </w:rPr>
        <w:t>Mental Health Pathway</w:t>
      </w:r>
      <w:r>
        <w:rPr/>
        <w:fldChar w:fldCharType="end" w:fldLock="0"/>
      </w:r>
    </w:p>
    <w:p>
      <w:pPr>
        <w:pStyle w:val="Body"/>
        <w:shd w:val="clear" w:color="auto" w:fill="ffffff"/>
        <w:spacing w:after="0" w:line="240" w:lineRule="auto"/>
        <w:rPr>
          <w:rStyle w:val="None"/>
          <w:rFonts w:ascii="Arial" w:cs="Arial" w:hAnsi="Arial" w:eastAsia="Arial"/>
        </w:rPr>
      </w:pPr>
      <w:r>
        <w:rPr>
          <w:rStyle w:val="None"/>
          <w:rFonts w:ascii="Arial" w:hAnsi="Arial"/>
          <w:rtl w:val="0"/>
          <w:lang w:val="en-US"/>
        </w:rPr>
        <w:t>Within the reporting period there have been events to launch the Pathway with different professional groups across our Children</w:t>
      </w:r>
      <w:r>
        <w:rPr>
          <w:rStyle w:val="None"/>
          <w:rFonts w:ascii="Arial" w:hAnsi="Arial" w:hint="default"/>
          <w:rtl w:val="0"/>
          <w:lang w:val="en-US"/>
        </w:rPr>
        <w:t>’</w:t>
      </w:r>
      <w:r>
        <w:rPr>
          <w:rStyle w:val="None"/>
          <w:rFonts w:ascii="Arial" w:hAnsi="Arial"/>
          <w:rtl w:val="0"/>
          <w:lang w:val="en-US"/>
        </w:rPr>
        <w:t xml:space="preserve">s Services partnership, and these will continue into the next reporting year. The Children Adolescent Mental Health Service (CAMHS) website is operational and this action can be signed off as complete </w:t>
      </w:r>
      <w:r>
        <w:rPr>
          <w:rStyle w:val="Hyperlink.2"/>
        </w:rPr>
        <w:fldChar w:fldCharType="begin" w:fldLock="0"/>
      </w:r>
      <w:r>
        <w:rPr>
          <w:rStyle w:val="Hyperlink.2"/>
        </w:rPr>
        <w:instrText xml:space="preserve"> HYPERLINK "https://dghscp.co.uk/camhs/"</w:instrText>
      </w:r>
      <w:r>
        <w:rPr>
          <w:rStyle w:val="Hyperlink.2"/>
        </w:rPr>
        <w:fldChar w:fldCharType="separate" w:fldLock="0"/>
      </w:r>
      <w:r>
        <w:rPr>
          <w:rStyle w:val="Hyperlink.2"/>
          <w:rtl w:val="0"/>
        </w:rPr>
        <w:t xml:space="preserve">CAMHS </w:t>
      </w:r>
      <w:r>
        <w:rPr>
          <w:rStyle w:val="None"/>
          <w:rFonts w:ascii="Arial" w:hAnsi="Arial" w:hint="default"/>
          <w:outline w:val="0"/>
          <w:color w:val="0000ff"/>
          <w:u w:val="single" w:color="0000ff"/>
          <w:rtl w:val="0"/>
          <w:lang w:val="en-US"/>
          <w14:textFill>
            <w14:solidFill>
              <w14:srgbClr w14:val="0000FF"/>
            </w14:solidFill>
          </w14:textFill>
        </w:rPr>
        <w:t xml:space="preserve">– </w:t>
      </w:r>
      <w:r>
        <w:rPr>
          <w:rStyle w:val="Hyperlink.2"/>
          <w:rtl w:val="0"/>
          <w:lang w:val="en-US"/>
        </w:rPr>
        <w:t>Dumfries &amp; Galloway Health &amp; Social Care</w:t>
      </w:r>
      <w:r>
        <w:rPr/>
        <w:fldChar w:fldCharType="end" w:fldLock="0"/>
      </w:r>
      <w:r>
        <w:rPr>
          <w:rStyle w:val="None"/>
          <w:rFonts w:ascii="Arial" w:hAnsi="Arial"/>
          <w:rtl w:val="0"/>
          <w:lang w:val="en-US"/>
        </w:rPr>
        <w:t>. Work is now taking place in the 2025-26 reporting period on access to online low level mental health interventions for children and young people. Youth Counselling in Schools continues to operate, with evaluation reports on this work available here:</w:t>
      </w:r>
    </w:p>
    <w:p>
      <w:pPr>
        <w:pStyle w:val="Body"/>
        <w:shd w:val="clear" w:color="auto" w:fill="ffffff"/>
        <w:spacing w:after="0" w:line="240" w:lineRule="auto"/>
        <w:rPr>
          <w:rStyle w:val="None"/>
          <w:rFonts w:ascii="Arial" w:cs="Arial" w:hAnsi="Arial" w:eastAsia="Arial"/>
          <w:u w:val="single"/>
        </w:rPr>
      </w:pPr>
      <w:r>
        <w:rPr>
          <w:rStyle w:val="Hyperlink.0"/>
        </w:rPr>
        <w:fldChar w:fldCharType="begin" w:fldLock="0"/>
      </w:r>
      <w:r>
        <w:rPr>
          <w:rStyle w:val="Hyperlink.0"/>
        </w:rPr>
        <w:instrText xml:space="preserve"> HYPERLINK "https://www.dumfriesandgalloway.gov.uk/youthwork/mental-health-support-young-people-school/about-low-level-mental-health-support-schools"</w:instrText>
      </w:r>
      <w:r>
        <w:rPr>
          <w:rStyle w:val="Hyperlink.0"/>
        </w:rPr>
        <w:fldChar w:fldCharType="separate" w:fldLock="0"/>
      </w:r>
      <w:r>
        <w:rPr>
          <w:rStyle w:val="Hyperlink.0"/>
          <w:rtl w:val="0"/>
          <w:lang w:val="en-US"/>
        </w:rPr>
        <w:t>About low-level mental health support in schools | Dumfries and Galloway Council</w:t>
      </w:r>
      <w:r>
        <w:rPr/>
        <w:fldChar w:fldCharType="end" w:fldLock="0"/>
      </w:r>
    </w:p>
    <w:p>
      <w:pPr>
        <w:pStyle w:val="Body"/>
        <w:shd w:val="clear" w:color="auto" w:fill="ffffff"/>
        <w:spacing w:after="0" w:line="240" w:lineRule="auto"/>
        <w:rPr>
          <w:rStyle w:val="None"/>
          <w:rFonts w:ascii="Arial" w:cs="Arial" w:hAnsi="Arial" w:eastAsia="Arial"/>
        </w:rPr>
      </w:pPr>
    </w:p>
    <w:p>
      <w:pPr>
        <w:pStyle w:val="Body"/>
        <w:shd w:val="clear" w:color="auto" w:fill="ffffff"/>
        <w:spacing w:after="0" w:line="240" w:lineRule="auto"/>
        <w:rPr>
          <w:rStyle w:val="None"/>
          <w:rFonts w:ascii="Arial" w:cs="Arial" w:hAnsi="Arial" w:eastAsia="Arial"/>
        </w:rPr>
      </w:pPr>
      <w:r>
        <w:rPr>
          <w:rStyle w:val="None"/>
          <w:rFonts w:ascii="Arial" w:hAnsi="Arial"/>
          <w:rtl w:val="0"/>
          <w:lang w:val="en-US"/>
        </w:rPr>
        <w:t xml:space="preserve">During the reporting year, a Health and Wellbeing public website has been launched, which includes specific areas just for education staff </w:t>
      </w:r>
      <w:r>
        <w:rPr>
          <w:rStyle w:val="None"/>
          <w:rFonts w:ascii="Arial" w:hAnsi="Arial" w:hint="default"/>
          <w:rtl w:val="0"/>
          <w:lang w:val="en-US"/>
        </w:rPr>
        <w:t xml:space="preserve">– </w:t>
      </w:r>
      <w:r>
        <w:rPr>
          <w:rStyle w:val="None"/>
          <w:rFonts w:ascii="Arial" w:hAnsi="Arial"/>
          <w:rtl w:val="0"/>
          <w:lang w:val="en-US"/>
        </w:rPr>
        <w:t xml:space="preserve">this incorporates the Rights Respecting Schools approach and focuses on: </w:t>
      </w:r>
    </w:p>
    <w:p>
      <w:pPr>
        <w:pStyle w:val="Body"/>
        <w:shd w:val="clear" w:color="auto" w:fill="ffffff"/>
        <w:spacing w:after="0" w:line="240" w:lineRule="auto"/>
        <w:rPr>
          <w:rStyle w:val="None"/>
          <w:rFonts w:ascii="Arial" w:cs="Arial" w:hAnsi="Arial" w:eastAsia="Arial"/>
        </w:rPr>
      </w:pPr>
    </w:p>
    <w:p>
      <w:pPr>
        <w:pStyle w:val="List Paragraph"/>
        <w:numPr>
          <w:ilvl w:val="0"/>
          <w:numId w:val="25"/>
        </w:numPr>
        <w:shd w:val="clear" w:color="auto" w:fill="ffffff"/>
        <w:bidi w:val="0"/>
        <w:spacing w:after="0" w:line="240" w:lineRule="auto"/>
        <w:ind w:right="0"/>
        <w:jc w:val="left"/>
        <w:rPr>
          <w:rFonts w:ascii="Arial" w:hAnsi="Arial"/>
          <w:rtl w:val="0"/>
          <w:lang w:val="en-US"/>
        </w:rPr>
      </w:pPr>
      <w:r>
        <w:rPr>
          <w:rStyle w:val="wacimagecontainer"/>
          <w:rFonts w:ascii="Arial" w:hAnsi="Arial"/>
          <w:rtl w:val="0"/>
          <w:lang w:val="en-US"/>
        </w:rPr>
        <w:t>Assessment of pupil wellbeing</w:t>
      </w:r>
    </w:p>
    <w:p>
      <w:pPr>
        <w:pStyle w:val="List Paragraph"/>
        <w:numPr>
          <w:ilvl w:val="0"/>
          <w:numId w:val="25"/>
        </w:numPr>
        <w:shd w:val="clear" w:color="auto" w:fill="ffffff"/>
        <w:bidi w:val="0"/>
        <w:spacing w:after="0" w:line="240" w:lineRule="auto"/>
        <w:ind w:right="0"/>
        <w:jc w:val="left"/>
        <w:rPr>
          <w:rFonts w:ascii="Arial" w:hAnsi="Arial"/>
          <w:rtl w:val="0"/>
          <w:lang w:val="en-US"/>
        </w:rPr>
      </w:pPr>
      <w:r>
        <w:rPr>
          <w:rStyle w:val="wacimagecontainer"/>
          <w:rFonts w:ascii="Arial" w:hAnsi="Arial"/>
          <w:rtl w:val="0"/>
          <w:lang w:val="en-US"/>
        </w:rPr>
        <w:t>Resources to support the Health and Wellbeing curriculum</w:t>
      </w:r>
    </w:p>
    <w:p>
      <w:pPr>
        <w:pStyle w:val="List Paragraph"/>
        <w:numPr>
          <w:ilvl w:val="0"/>
          <w:numId w:val="25"/>
        </w:numPr>
        <w:shd w:val="clear" w:color="auto" w:fill="ffffff"/>
        <w:bidi w:val="0"/>
        <w:spacing w:after="0" w:line="240" w:lineRule="auto"/>
        <w:ind w:right="0"/>
        <w:jc w:val="left"/>
        <w:rPr>
          <w:rFonts w:ascii="Arial" w:hAnsi="Arial"/>
          <w:rtl w:val="0"/>
          <w:lang w:val="en-US"/>
        </w:rPr>
      </w:pPr>
      <w:r>
        <w:rPr>
          <w:rStyle w:val="wacimagecontainer"/>
          <w:rFonts w:ascii="Arial" w:hAnsi="Arial"/>
          <w:rtl w:val="0"/>
          <w:lang w:val="en-US"/>
        </w:rPr>
        <w:t xml:space="preserve">Promoting Attendance </w:t>
      </w:r>
    </w:p>
    <w:p>
      <w:pPr>
        <w:pStyle w:val="List Paragraph"/>
        <w:numPr>
          <w:ilvl w:val="0"/>
          <w:numId w:val="25"/>
        </w:numPr>
        <w:shd w:val="clear" w:color="auto" w:fill="ffffff"/>
        <w:bidi w:val="0"/>
        <w:spacing w:after="0" w:line="240" w:lineRule="auto"/>
        <w:ind w:right="0"/>
        <w:jc w:val="left"/>
        <w:rPr>
          <w:rFonts w:ascii="Arial" w:hAnsi="Arial"/>
          <w:rtl w:val="0"/>
          <w:lang w:val="en-US"/>
        </w:rPr>
      </w:pPr>
      <w:r>
        <w:rPr>
          <w:rStyle w:val="wacimagecontainer"/>
          <w:rFonts w:ascii="Arial" w:hAnsi="Arial"/>
          <w:rtl w:val="0"/>
          <w:lang w:val="en-US"/>
        </w:rPr>
        <w:t>Signposting to services within the mental health pathway</w:t>
      </w:r>
    </w:p>
    <w:p>
      <w:pPr>
        <w:pStyle w:val="List Paragraph"/>
        <w:numPr>
          <w:ilvl w:val="0"/>
          <w:numId w:val="27"/>
        </w:numPr>
        <w:shd w:val="clear" w:color="auto" w:fill="ffffff"/>
        <w:bidi w:val="0"/>
        <w:spacing w:after="0" w:line="240" w:lineRule="auto"/>
        <w:ind w:right="0"/>
        <w:jc w:val="left"/>
        <w:rPr>
          <w:rFonts w:ascii="Arial" w:hAnsi="Arial"/>
          <w:rtl w:val="0"/>
          <w:lang w:val="en-US"/>
        </w:rPr>
      </w:pPr>
      <w:r>
        <w:rPr>
          <w:rStyle w:val="wacimagecontainer"/>
          <w:rFonts w:ascii="Arial" w:hAnsi="Arial"/>
          <w:rtl w:val="0"/>
          <w:lang w:val="en-US"/>
        </w:rPr>
        <w:t>A termly Health and Wellbeing newsletter signposts staff to new resources.</w:t>
      </w:r>
    </w:p>
    <w:p>
      <w:pPr>
        <w:pStyle w:val="Body"/>
        <w:shd w:val="clear" w:color="auto" w:fill="ffffff"/>
        <w:spacing w:after="0" w:line="240" w:lineRule="auto"/>
        <w:rPr>
          <w:rStyle w:val="None"/>
          <w:rFonts w:ascii="Arial" w:cs="Arial" w:hAnsi="Arial" w:eastAsia="Arial"/>
        </w:rPr>
      </w:pPr>
    </w:p>
    <w:p>
      <w:pPr>
        <w:pStyle w:val="Body"/>
        <w:shd w:val="clear" w:color="auto" w:fill="ffffff"/>
        <w:spacing w:after="0" w:line="240" w:lineRule="auto"/>
        <w:rPr>
          <w:rStyle w:val="None"/>
          <w:rFonts w:ascii="Arial" w:cs="Arial" w:hAnsi="Arial" w:eastAsia="Arial"/>
        </w:rPr>
      </w:pPr>
      <w:r>
        <w:rPr>
          <w:rStyle w:val="None"/>
          <w:rFonts w:ascii="Arial" w:hAnsi="Arial"/>
          <w:rtl w:val="0"/>
          <w:lang w:val="en-US"/>
        </w:rPr>
        <w:t>Key successes this year have included:</w:t>
      </w:r>
    </w:p>
    <w:p>
      <w:pPr>
        <w:pStyle w:val="List Paragraph"/>
        <w:numPr>
          <w:ilvl w:val="0"/>
          <w:numId w:val="27"/>
        </w:numPr>
        <w:shd w:val="clear" w:color="auto" w:fill="ffffff"/>
        <w:bidi w:val="0"/>
        <w:spacing w:after="0" w:line="240" w:lineRule="auto"/>
        <w:ind w:right="0"/>
        <w:jc w:val="left"/>
        <w:rPr>
          <w:rFonts w:ascii="Arial" w:hAnsi="Arial"/>
          <w:rtl w:val="0"/>
          <w:lang w:val="en-US"/>
        </w:rPr>
      </w:pPr>
      <w:r>
        <w:rPr>
          <w:rStyle w:val="wacimagecontainer"/>
          <w:rFonts w:ascii="Arial" w:hAnsi="Arial"/>
          <w:rtl w:val="0"/>
          <w:lang w:val="en-US"/>
        </w:rPr>
        <w:t xml:space="preserve">Embedding of the Mental Health Pathway </w:t>
      </w:r>
    </w:p>
    <w:p>
      <w:pPr>
        <w:pStyle w:val="List Paragraph"/>
        <w:numPr>
          <w:ilvl w:val="0"/>
          <w:numId w:val="27"/>
        </w:numPr>
        <w:shd w:val="clear" w:color="auto" w:fill="ffffff"/>
        <w:bidi w:val="0"/>
        <w:spacing w:after="0" w:line="240" w:lineRule="auto"/>
        <w:ind w:right="0"/>
        <w:jc w:val="left"/>
        <w:rPr>
          <w:rFonts w:ascii="Arial" w:hAnsi="Arial"/>
          <w:rtl w:val="0"/>
          <w:lang w:val="en-US"/>
        </w:rPr>
      </w:pPr>
      <w:r>
        <w:rPr>
          <w:rStyle w:val="wacimagecontainer"/>
          <w:rFonts w:ascii="Arial" w:hAnsi="Arial"/>
          <w:rtl w:val="0"/>
          <w:lang w:val="en-US"/>
        </w:rPr>
        <w:t>The continuation of Counselling in Schools</w:t>
      </w:r>
    </w:p>
    <w:p>
      <w:pPr>
        <w:pStyle w:val="List Paragraph"/>
        <w:numPr>
          <w:ilvl w:val="0"/>
          <w:numId w:val="27"/>
        </w:numPr>
        <w:shd w:val="clear" w:color="auto" w:fill="ffffff"/>
        <w:bidi w:val="0"/>
        <w:spacing w:after="0" w:line="240" w:lineRule="auto"/>
        <w:ind w:right="0"/>
        <w:jc w:val="left"/>
        <w:rPr>
          <w:rFonts w:ascii="Arial" w:hAnsi="Arial"/>
          <w:rtl w:val="0"/>
          <w:lang w:val="en-US"/>
        </w:rPr>
      </w:pPr>
      <w:r>
        <w:rPr>
          <w:rStyle w:val="wacimagecontainer"/>
          <w:rFonts w:ascii="Arial" w:hAnsi="Arial"/>
          <w:rtl w:val="0"/>
          <w:lang w:val="en-US"/>
        </w:rPr>
        <w:t>Improved access to mental health supports for parents and babies</w:t>
      </w:r>
    </w:p>
    <w:p>
      <w:pPr>
        <w:pStyle w:val="Body"/>
        <w:shd w:val="clear" w:color="auto" w:fill="ffffff"/>
        <w:rPr>
          <w:rStyle w:val="None"/>
          <w:rFonts w:ascii="Arial" w:cs="Arial" w:hAnsi="Arial" w:eastAsia="Arial"/>
          <w:u w:val="single"/>
        </w:rPr>
      </w:pPr>
    </w:p>
    <w:p>
      <w:pPr>
        <w:pStyle w:val="Body"/>
        <w:rPr>
          <w:rStyle w:val="None"/>
          <w:rFonts w:ascii="Arial" w:cs="Arial" w:hAnsi="Arial" w:eastAsia="Arial"/>
          <w:b w:val="1"/>
          <w:bCs w:val="1"/>
          <w:u w:val="single"/>
        </w:rPr>
      </w:pPr>
      <w:r>
        <w:rPr>
          <w:rStyle w:val="None"/>
          <w:rFonts w:ascii="Arial" w:hAnsi="Arial"/>
          <w:b w:val="1"/>
          <w:bCs w:val="1"/>
          <w:u w:val="single"/>
          <w:rtl w:val="0"/>
          <w:lang w:val="en-US"/>
        </w:rPr>
        <w:t>Alcohol and Drugs Partnership (ADP)</w:t>
      </w:r>
      <w:r>
        <w:rPr>
          <w:rStyle w:val="None"/>
          <w:rFonts w:ascii="Arial" w:hAnsi="Arial" w:hint="default"/>
          <w:b w:val="1"/>
          <w:bCs w:val="1"/>
          <w:u w:val="single"/>
          <w:rtl w:val="0"/>
          <w:lang w:val="en-US"/>
        </w:rPr>
        <w:t xml:space="preserve"> – </w:t>
      </w:r>
      <w:r>
        <w:rPr>
          <w:rStyle w:val="None"/>
          <w:rFonts w:ascii="Arial" w:hAnsi="Arial"/>
          <w:b w:val="1"/>
          <w:bCs w:val="1"/>
          <w:u w:val="single"/>
          <w:rtl w:val="0"/>
          <w:lang w:val="en-US"/>
        </w:rPr>
        <w:t>role out of Naloxone</w:t>
      </w:r>
    </w:p>
    <w:p>
      <w:pPr>
        <w:pStyle w:val="Body"/>
        <w:rPr>
          <w:rStyle w:val="None"/>
          <w:rFonts w:ascii="Arial" w:cs="Arial" w:hAnsi="Arial" w:eastAsia="Arial"/>
        </w:rPr>
      </w:pPr>
      <w:r>
        <w:rPr>
          <w:rStyle w:val="None"/>
          <w:rFonts w:ascii="Arial" w:hAnsi="Arial"/>
          <w:u w:val="single"/>
          <w:rtl w:val="0"/>
          <w:lang w:val="en-US"/>
        </w:rPr>
        <w:t>Increasing Naloxone Provision</w:t>
      </w:r>
      <w:r>
        <w:rPr>
          <w:rStyle w:val="None"/>
          <w:rFonts w:ascii="Arial" w:hAnsi="Arial"/>
          <w:rtl w:val="0"/>
        </w:rPr>
        <w:t xml:space="preserve"> </w:t>
      </w:r>
    </w:p>
    <w:p>
      <w:pPr>
        <w:pStyle w:val="Body"/>
        <w:rPr>
          <w:rStyle w:val="None"/>
          <w:rFonts w:ascii="Arial" w:cs="Arial" w:hAnsi="Arial" w:eastAsia="Arial"/>
        </w:rPr>
      </w:pPr>
      <w:r>
        <w:rPr>
          <w:rStyle w:val="None"/>
          <w:rFonts w:ascii="Arial" w:hAnsi="Arial"/>
          <w:rtl w:val="0"/>
          <w:lang w:val="en-US"/>
        </w:rPr>
        <w:t xml:space="preserve">Naloxone can temporarily reduce the effects of an opiate overdose and prevent an overdose from becoming fatal. The Naloxone Working Group of the ADP meets every three months to promote the provision of </w:t>
      </w:r>
      <w:r>
        <w:rPr>
          <w:rStyle w:val="None"/>
          <w:rFonts w:ascii="Arial" w:hAnsi="Arial" w:hint="default"/>
          <w:rtl w:val="0"/>
          <w:lang w:val="en-US"/>
        </w:rPr>
        <w:t>“</w:t>
      </w:r>
      <w:r>
        <w:rPr>
          <w:rStyle w:val="None"/>
          <w:rFonts w:ascii="Arial" w:hAnsi="Arial"/>
          <w:rtl w:val="0"/>
          <w:lang w:val="en-US"/>
        </w:rPr>
        <w:t>Take Home</w:t>
      </w:r>
      <w:r>
        <w:rPr>
          <w:rStyle w:val="None"/>
          <w:rFonts w:ascii="Arial" w:hAnsi="Arial" w:hint="default"/>
          <w:rtl w:val="0"/>
          <w:lang w:val="en-US"/>
        </w:rPr>
        <w:t>”</w:t>
      </w:r>
      <w:r>
        <w:rPr>
          <w:rStyle w:val="None"/>
          <w:rFonts w:ascii="Arial" w:hAnsi="Arial"/>
          <w:rtl w:val="0"/>
          <w:lang w:val="en-US"/>
        </w:rPr>
        <w:t xml:space="preserve"> Naloxone Kits across the region.</w:t>
      </w:r>
    </w:p>
    <w:p>
      <w:pPr>
        <w:pStyle w:val="Body"/>
        <w:rPr>
          <w:rStyle w:val="None"/>
          <w:rFonts w:ascii="Arial" w:cs="Arial" w:hAnsi="Arial" w:eastAsia="Arial"/>
        </w:rPr>
      </w:pPr>
      <w:r>
        <w:rPr>
          <w:rStyle w:val="None"/>
          <w:rFonts w:ascii="Arial" w:hAnsi="Arial"/>
          <w:rtl w:val="0"/>
          <w:lang w:val="en-US"/>
        </w:rPr>
        <w:t>In 2023/24, Dumfries and Galloway ADP distributed 707 Take Home Naloxone Kits.</w:t>
      </w:r>
    </w:p>
    <w:p>
      <w:pPr>
        <w:pStyle w:val="List Paragraph"/>
        <w:numPr>
          <w:ilvl w:val="0"/>
          <w:numId w:val="29"/>
        </w:numPr>
        <w:bidi w:val="0"/>
        <w:ind w:right="0"/>
        <w:jc w:val="left"/>
        <w:rPr>
          <w:rFonts w:ascii="Arial" w:hAnsi="Arial"/>
          <w:rtl w:val="0"/>
          <w:lang w:val="en-US"/>
        </w:rPr>
      </w:pPr>
      <w:r>
        <w:rPr>
          <w:rStyle w:val="wacimagecontainer"/>
          <w:rFonts w:ascii="Arial" w:hAnsi="Arial"/>
          <w:rtl w:val="0"/>
          <w:lang w:val="en-US"/>
        </w:rPr>
        <w:t>Across Dumfries and Galloway, 252 police officers and 10 fire officers have been supplied with emergency Naloxone. This can be administered if they encounter someone who is experiencing a near fatal overdose.</w:t>
      </w:r>
    </w:p>
    <w:p>
      <w:pPr>
        <w:pStyle w:val="List Paragraph"/>
        <w:numPr>
          <w:ilvl w:val="0"/>
          <w:numId w:val="29"/>
        </w:numPr>
        <w:bidi w:val="0"/>
        <w:ind w:right="0"/>
        <w:jc w:val="left"/>
        <w:rPr>
          <w:rFonts w:ascii="Arial" w:hAnsi="Arial"/>
          <w:rtl w:val="0"/>
          <w:lang w:val="en-US"/>
        </w:rPr>
      </w:pPr>
      <w:r>
        <w:rPr>
          <w:rStyle w:val="wacimagecontainer"/>
          <w:rFonts w:ascii="Arial" w:hAnsi="Arial"/>
          <w:rtl w:val="0"/>
          <w:lang w:val="en-US"/>
        </w:rPr>
        <w:t>Community pharmacies across the region can now supply and administer emergency Naloxone kits.</w:t>
      </w:r>
    </w:p>
    <w:p>
      <w:pPr>
        <w:pStyle w:val="List Paragraph"/>
        <w:numPr>
          <w:ilvl w:val="0"/>
          <w:numId w:val="29"/>
        </w:numPr>
        <w:bidi w:val="0"/>
        <w:ind w:right="0"/>
        <w:jc w:val="left"/>
        <w:rPr>
          <w:rFonts w:ascii="Arial" w:hAnsi="Arial"/>
          <w:rtl w:val="0"/>
          <w:lang w:val="en-US"/>
        </w:rPr>
      </w:pPr>
      <w:r>
        <w:rPr>
          <w:rStyle w:val="wacimagecontainer"/>
          <w:rFonts w:ascii="Arial" w:hAnsi="Arial"/>
          <w:rtl w:val="0"/>
          <w:lang w:val="en-US"/>
        </w:rPr>
        <w:t>The custody suite can now distribute Naloxone.</w:t>
      </w:r>
    </w:p>
    <w:p>
      <w:pPr>
        <w:pStyle w:val="List Paragraph"/>
        <w:numPr>
          <w:ilvl w:val="0"/>
          <w:numId w:val="29"/>
        </w:numPr>
        <w:bidi w:val="0"/>
        <w:ind w:right="0"/>
        <w:jc w:val="left"/>
        <w:rPr>
          <w:rFonts w:ascii="Arial" w:hAnsi="Arial"/>
          <w:rtl w:val="0"/>
          <w:lang w:val="en-US"/>
        </w:rPr>
      </w:pPr>
      <w:r>
        <w:rPr>
          <w:rStyle w:val="wacimagecontainer"/>
          <w:rFonts w:ascii="Arial" w:hAnsi="Arial"/>
          <w:rtl w:val="0"/>
          <w:lang w:val="en-US"/>
        </w:rPr>
        <w:t xml:space="preserve">The Specialist Drug and Alcohol Service and </w:t>
      </w:r>
      <w:r>
        <w:rPr>
          <w:rStyle w:val="wacimagecontainer"/>
          <w:rFonts w:ascii="Arial" w:hAnsi="Arial" w:hint="default"/>
          <w:rtl w:val="0"/>
          <w:lang w:val="en-US"/>
        </w:rPr>
        <w:t>“</w:t>
      </w:r>
      <w:r>
        <w:rPr>
          <w:rStyle w:val="wacimagecontainer"/>
          <w:rFonts w:ascii="Arial" w:hAnsi="Arial"/>
          <w:rtl w:val="0"/>
          <w:lang w:val="en-US"/>
        </w:rPr>
        <w:t>With You</w:t>
      </w:r>
      <w:r>
        <w:rPr>
          <w:rStyle w:val="wacimagecontainer"/>
          <w:rFonts w:ascii="Arial" w:hAnsi="Arial" w:hint="default"/>
          <w:rtl w:val="0"/>
          <w:lang w:val="en-US"/>
        </w:rPr>
        <w:t xml:space="preserve">” </w:t>
      </w:r>
      <w:r>
        <w:rPr>
          <w:rStyle w:val="wacimagecontainer"/>
          <w:rFonts w:ascii="Arial" w:hAnsi="Arial"/>
          <w:rtl w:val="0"/>
          <w:lang w:val="en-US"/>
        </w:rPr>
        <w:t>also provide naloxone kits.</w:t>
      </w:r>
    </w:p>
    <w:p>
      <w:pPr>
        <w:pStyle w:val="List Paragraph"/>
        <w:rPr>
          <w:rStyle w:val="None"/>
          <w:rFonts w:ascii="Arial" w:cs="Arial" w:hAnsi="Arial" w:eastAsia="Arial"/>
        </w:rPr>
      </w:pPr>
    </w:p>
    <w:p>
      <w:pPr>
        <w:pStyle w:val="Body"/>
        <w:rPr>
          <w:rStyle w:val="None"/>
          <w:rFonts w:ascii="Arial" w:cs="Arial" w:hAnsi="Arial" w:eastAsia="Arial"/>
          <w:b w:val="1"/>
          <w:bCs w:val="1"/>
        </w:rPr>
      </w:pPr>
    </w:p>
    <w:p>
      <w:pPr>
        <w:pStyle w:val="Body"/>
        <w:rPr>
          <w:rStyle w:val="None"/>
          <w:rFonts w:ascii="Arial" w:cs="Arial" w:hAnsi="Arial" w:eastAsia="Arial"/>
          <w:b w:val="1"/>
          <w:bCs w:val="1"/>
        </w:rPr>
      </w:pPr>
    </w:p>
    <w:p>
      <w:pPr>
        <w:pStyle w:val="Body"/>
        <w:rPr>
          <w:rStyle w:val="None"/>
          <w:rFonts w:ascii="Arial" w:cs="Arial" w:hAnsi="Arial" w:eastAsia="Arial"/>
          <w:b w:val="1"/>
          <w:bCs w:val="1"/>
        </w:rPr>
      </w:pPr>
    </w:p>
    <w:p>
      <w:pPr>
        <w:pStyle w:val="Body"/>
        <w:rPr>
          <w:rStyle w:val="None"/>
          <w:rFonts w:ascii="Arial" w:cs="Arial" w:hAnsi="Arial" w:eastAsia="Arial"/>
          <w:b w:val="1"/>
          <w:bCs w:val="1"/>
        </w:rPr>
      </w:pPr>
    </w:p>
    <w:p>
      <w:pPr>
        <w:pStyle w:val="Body"/>
        <w:rPr>
          <w:rStyle w:val="None"/>
          <w:rFonts w:ascii="Arial" w:cs="Arial" w:hAnsi="Arial" w:eastAsia="Arial"/>
          <w:b w:val="1"/>
          <w:bCs w:val="1"/>
        </w:rPr>
      </w:pPr>
    </w:p>
    <w:p>
      <w:pPr>
        <w:pStyle w:val="Body"/>
        <w:rPr>
          <w:rStyle w:val="None"/>
          <w:rFonts w:ascii="Arial" w:cs="Arial" w:hAnsi="Arial" w:eastAsia="Arial"/>
          <w:b w:val="1"/>
          <w:bCs w:val="1"/>
        </w:rPr>
      </w:pPr>
    </w:p>
    <w:p>
      <w:pPr>
        <w:pStyle w:val="Body"/>
        <w:rPr>
          <w:rStyle w:val="None"/>
          <w:rFonts w:ascii="Arial" w:cs="Arial" w:hAnsi="Arial" w:eastAsia="Arial"/>
          <w:b w:val="1"/>
          <w:bCs w:val="1"/>
        </w:rPr>
      </w:pPr>
    </w:p>
    <w:p>
      <w:pPr>
        <w:pStyle w:val="Body"/>
        <w:rPr>
          <w:rStyle w:val="None"/>
          <w:rFonts w:ascii="Arial" w:cs="Arial" w:hAnsi="Arial" w:eastAsia="Arial"/>
          <w:b w:val="1"/>
          <w:bCs w:val="1"/>
        </w:rPr>
      </w:pPr>
    </w:p>
    <w:p>
      <w:pPr>
        <w:pStyle w:val="Body"/>
        <w:rPr>
          <w:rStyle w:val="None"/>
          <w:rFonts w:ascii="Arial" w:cs="Arial" w:hAnsi="Arial" w:eastAsia="Arial"/>
          <w:b w:val="1"/>
          <w:bCs w:val="1"/>
        </w:rPr>
      </w:pPr>
    </w:p>
    <w:p>
      <w:pPr>
        <w:pStyle w:val="Body"/>
        <w:rPr>
          <w:rStyle w:val="None"/>
          <w:rFonts w:ascii="Arial" w:cs="Arial" w:hAnsi="Arial" w:eastAsia="Arial"/>
          <w:b w:val="1"/>
          <w:bCs w:val="1"/>
        </w:rPr>
      </w:pPr>
    </w:p>
    <w:p>
      <w:pPr>
        <w:pStyle w:val="Body"/>
        <w:rPr>
          <w:rStyle w:val="None"/>
          <w:rFonts w:ascii="Arial" w:cs="Arial" w:hAnsi="Arial" w:eastAsia="Arial"/>
          <w:b w:val="1"/>
          <w:bCs w:val="1"/>
        </w:rPr>
      </w:pPr>
    </w:p>
    <w:p>
      <w:pPr>
        <w:pStyle w:val="Body"/>
        <w:rPr>
          <w:rStyle w:val="None"/>
          <w:rFonts w:ascii="Arial" w:cs="Arial" w:hAnsi="Arial" w:eastAsia="Arial"/>
          <w:b w:val="1"/>
          <w:bCs w:val="1"/>
        </w:rPr>
      </w:pPr>
      <w:r>
        <w:rPr>
          <w:rStyle w:val="None"/>
          <w:rFonts w:ascii="Arial" w:hAnsi="Arial"/>
          <w:b w:val="1"/>
          <w:bCs w:val="1"/>
          <w:rtl w:val="0"/>
          <w:lang w:val="en-US"/>
        </w:rPr>
        <w:t>Health and Wellbeing Case Studies</w:t>
      </w:r>
    </w:p>
    <w:p>
      <w:pPr>
        <w:pStyle w:val="Body"/>
        <w:rPr>
          <w:rStyle w:val="None"/>
          <w:rFonts w:ascii="Arial" w:cs="Arial" w:hAnsi="Arial" w:eastAsia="Arial"/>
        </w:rPr>
      </w:pPr>
      <w:r>
        <w:rPr>
          <w:rStyle w:val="None"/>
          <w:rFonts w:ascii="Arial" w:hAnsi="Arial"/>
          <w:b w:val="1"/>
          <w:bCs w:val="1"/>
          <w:rtl w:val="0"/>
          <w:lang w:val="en-US"/>
        </w:rPr>
        <w:t>Case Study 1: Active Lives Pathway</w:t>
      </w:r>
      <w:r>
        <w:rPr>
          <w:rStyle w:val="None"/>
          <w:rFonts w:ascii="Arial" w:hAnsi="Arial" w:hint="default"/>
          <w:rtl w:val="0"/>
          <w:lang w:val="en-US"/>
        </w:rPr>
        <w:t>  </w:t>
      </w:r>
    </w:p>
    <w:p>
      <w:pPr>
        <w:pStyle w:val="Body"/>
        <w:rPr>
          <w:rStyle w:val="None"/>
          <w:rFonts w:ascii="Arial" w:cs="Arial" w:hAnsi="Arial" w:eastAsia="Arial"/>
        </w:rPr>
      </w:pPr>
      <w:r>
        <w:rPr>
          <w:rStyle w:val="None"/>
          <w:rFonts w:ascii="Arial" w:hAnsi="Arial"/>
          <w:b w:val="1"/>
          <w:bCs w:val="1"/>
          <w:u w:val="single"/>
          <w:rtl w:val="0"/>
          <w:lang w:val="en-US"/>
        </w:rPr>
        <w:t>Which LOIP Outcome(s) does this contribute to?</w:t>
      </w:r>
      <w:r>
        <w:rPr>
          <w:rStyle w:val="None"/>
          <w:rFonts w:ascii="Arial" w:hAnsi="Arial" w:hint="default"/>
          <w:rtl w:val="0"/>
          <w:lang w:val="en-US"/>
        </w:rPr>
        <w:t>  </w:t>
      </w:r>
    </w:p>
    <w:p>
      <w:pPr>
        <w:pStyle w:val="Body"/>
        <w:numPr>
          <w:ilvl w:val="0"/>
          <w:numId w:val="31"/>
        </w:numPr>
        <w:rPr>
          <w:lang w:val="en-US"/>
        </w:rPr>
      </w:pPr>
      <w:r>
        <w:rPr>
          <w:rStyle w:val="None"/>
          <w:rFonts w:ascii="Arial" w:hAnsi="Arial"/>
          <w:b w:val="1"/>
          <w:bCs w:val="1"/>
          <w:rtl w:val="0"/>
          <w:lang w:val="en-US"/>
        </w:rPr>
        <w:t>3. Improve the health and wellbeing of our citizens through targeted approaches.</w:t>
      </w:r>
      <w:r>
        <w:rPr>
          <w:rStyle w:val="None"/>
          <w:rFonts w:ascii="Arial" w:hAnsi="Arial" w:hint="default"/>
          <w:rtl w:val="0"/>
          <w:lang w:val="en-US"/>
        </w:rPr>
        <w:t> </w:t>
      </w:r>
      <w:r>
        <w:rPr>
          <w:rStyle w:val="wacimagecontainer"/>
          <w:rtl w:val="0"/>
        </w:rPr>
        <w:t> </w:t>
      </w:r>
    </w:p>
    <w:p>
      <w:pPr>
        <w:pStyle w:val="Body"/>
        <w:spacing w:after="0" w:line="240" w:lineRule="auto"/>
        <w:rPr>
          <w:rStyle w:val="None"/>
          <w:rFonts w:ascii="Arial" w:cs="Arial" w:hAnsi="Arial" w:eastAsia="Arial"/>
          <w:u w:val="single"/>
        </w:rPr>
      </w:pPr>
      <w:r>
        <w:rPr>
          <w:rStyle w:val="None"/>
          <w:rFonts w:ascii="Arial" w:hAnsi="Arial"/>
          <w:u w:val="single"/>
          <w:rtl w:val="0"/>
          <w:lang w:val="en-US"/>
        </w:rPr>
        <w:t>Why is this project important?</w:t>
      </w:r>
    </w:p>
    <w:p>
      <w:pPr>
        <w:pStyle w:val="Body"/>
        <w:spacing w:after="0" w:line="240" w:lineRule="auto"/>
        <w:rPr>
          <w:rStyle w:val="None"/>
          <w:rFonts w:ascii="Segoe UI" w:cs="Segoe UI" w:hAnsi="Segoe UI" w:eastAsia="Segoe UI"/>
          <w:kern w:val="0"/>
        </w:rPr>
      </w:pPr>
      <w:r>
        <w:rPr>
          <w:rStyle w:val="None"/>
          <w:rFonts w:ascii="Arial" w:hAnsi="Arial"/>
          <w:kern w:val="0"/>
          <w:rtl w:val="0"/>
          <w:lang w:val="en-US"/>
        </w:rPr>
        <w:t>Being physically active and maintaining muscle strength and balance is vital for independence and fall prevention. Yet, 74% of Scottish adults don</w:t>
      </w:r>
      <w:r>
        <w:rPr>
          <w:rStyle w:val="None"/>
          <w:rFonts w:ascii="Arial" w:hAnsi="Arial" w:hint="default"/>
          <w:kern w:val="0"/>
          <w:rtl w:val="0"/>
          <w:lang w:val="en-US"/>
        </w:rPr>
        <w:t>’</w:t>
      </w:r>
      <w:r>
        <w:rPr>
          <w:rStyle w:val="None"/>
          <w:rFonts w:ascii="Arial" w:hAnsi="Arial"/>
          <w:kern w:val="0"/>
          <w:rtl w:val="0"/>
          <w:lang w:val="en-US"/>
        </w:rPr>
        <w:t>t meet recommended physical activity and strength guidelines</w:t>
      </w:r>
      <w:r>
        <w:rPr>
          <w:rStyle w:val="None"/>
          <w:rFonts w:ascii="Arial" w:hAnsi="Arial" w:hint="default"/>
          <w:kern w:val="0"/>
          <w:rtl w:val="0"/>
          <w:lang w:val="en-US"/>
        </w:rPr>
        <w:t>—</w:t>
      </w:r>
      <w:r>
        <w:rPr>
          <w:rStyle w:val="None"/>
          <w:rFonts w:ascii="Arial" w:hAnsi="Arial"/>
          <w:kern w:val="0"/>
          <w:rtl w:val="0"/>
          <w:lang w:val="en-US"/>
        </w:rPr>
        <w:t>equating to around 93,000 people in Dumfries and Galloway. Additionally, 22% of adults in the region are active for less than 30 minutes per week</w:t>
      </w:r>
      <w:r>
        <w:rPr>
          <w:rStyle w:val="None"/>
          <w:rFonts w:ascii="Segoe UI" w:cs="Segoe UI" w:hAnsi="Segoe UI" w:eastAsia="Segoe UI"/>
          <w:kern w:val="0"/>
          <w:rtl w:val="0"/>
        </w:rPr>
        <w:t>.</w:t>
      </w:r>
    </w:p>
    <w:p>
      <w:pPr>
        <w:pStyle w:val="Body"/>
        <w:spacing w:after="0" w:line="240" w:lineRule="auto"/>
        <w:rPr>
          <w:rStyle w:val="None"/>
          <w:rFonts w:ascii="Arial" w:cs="Arial" w:hAnsi="Arial" w:eastAsia="Arial"/>
          <w:outline w:val="0"/>
          <w:color w:val="424242"/>
          <w:kern w:val="0"/>
          <w:u w:val="single" w:color="424242"/>
          <w14:textFill>
            <w14:solidFill>
              <w14:srgbClr w14:val="424242"/>
            </w14:solidFill>
          </w14:textFill>
        </w:rPr>
      </w:pPr>
    </w:p>
    <w:p>
      <w:pPr>
        <w:pStyle w:val="Body"/>
        <w:spacing w:after="0" w:line="240" w:lineRule="auto"/>
        <w:rPr>
          <w:rStyle w:val="None"/>
          <w:rFonts w:ascii="Arial" w:cs="Arial" w:hAnsi="Arial" w:eastAsia="Arial"/>
          <w:outline w:val="0"/>
          <w:color w:val="424242"/>
          <w:kern w:val="0"/>
          <w:u w:val="single" w:color="424242"/>
          <w14:textFill>
            <w14:solidFill>
              <w14:srgbClr w14:val="424242"/>
            </w14:solidFill>
          </w14:textFill>
        </w:rPr>
      </w:pPr>
      <w:r>
        <w:rPr>
          <w:rStyle w:val="None"/>
          <w:rFonts w:ascii="Arial" w:hAnsi="Arial"/>
          <w:outline w:val="0"/>
          <w:color w:val="424242"/>
          <w:kern w:val="0"/>
          <w:u w:val="single" w:color="424242"/>
          <w:rtl w:val="0"/>
          <w:lang w:val="en-US"/>
          <w14:textFill>
            <w14:solidFill>
              <w14:srgbClr w14:val="424242"/>
            </w14:solidFill>
          </w14:textFill>
        </w:rPr>
        <w:t>What did we do?</w:t>
      </w:r>
    </w:p>
    <w:p>
      <w:pPr>
        <w:pStyle w:val="Body"/>
        <w:spacing w:after="0" w:line="240" w:lineRule="auto"/>
        <w:rPr>
          <w:rStyle w:val="None"/>
          <w:rFonts w:ascii="Arial" w:cs="Arial" w:hAnsi="Arial" w:eastAsia="Arial"/>
        </w:rPr>
      </w:pPr>
      <w:r>
        <w:rPr>
          <w:rStyle w:val="None"/>
          <w:rFonts w:ascii="Arial" w:hAnsi="Arial"/>
          <w:outline w:val="0"/>
          <w:color w:val="424242"/>
          <w:kern w:val="0"/>
          <w:u w:color="424242"/>
          <w:rtl w:val="0"/>
          <w:lang w:val="en-US"/>
          <w14:textFill>
            <w14:solidFill>
              <w14:srgbClr w14:val="424242"/>
            </w14:solidFill>
          </w14:textFill>
        </w:rPr>
        <w:t>In November 2023, the Health and Social Care Partnership and Dumfries and Galloway Council launched the</w:t>
      </w:r>
      <w:r>
        <w:rPr>
          <w:rStyle w:val="None"/>
          <w:rFonts w:ascii="Arial" w:hAnsi="Arial" w:hint="default"/>
          <w:outline w:val="0"/>
          <w:color w:val="424242"/>
          <w:kern w:val="0"/>
          <w:u w:color="424242"/>
          <w:rtl w:val="0"/>
          <w:lang w:val="en-US"/>
          <w14:textFill>
            <w14:solidFill>
              <w14:srgbClr w14:val="424242"/>
            </w14:solidFill>
          </w14:textFill>
        </w:rPr>
        <w:t> </w:t>
      </w:r>
      <w:r>
        <w:rPr>
          <w:rStyle w:val="None"/>
          <w:rFonts w:ascii="Arial" w:hAnsi="Arial"/>
          <w:b w:val="1"/>
          <w:bCs w:val="1"/>
          <w:outline w:val="0"/>
          <w:color w:val="424242"/>
          <w:kern w:val="0"/>
          <w:u w:color="424242"/>
          <w:rtl w:val="0"/>
          <w:lang w:val="en-US"/>
          <w14:textFill>
            <w14:solidFill>
              <w14:srgbClr w14:val="424242"/>
            </w14:solidFill>
          </w14:textFill>
        </w:rPr>
        <w:t>Active Lives Pathway (ALP)</w:t>
      </w:r>
      <w:r>
        <w:rPr>
          <w:rStyle w:val="None"/>
          <w:rFonts w:ascii="Arial" w:hAnsi="Arial"/>
          <w:outline w:val="0"/>
          <w:color w:val="424242"/>
          <w:kern w:val="0"/>
          <w:u w:color="424242"/>
          <w:rtl w:val="0"/>
          <w:lang w:val="en-US"/>
          <w14:textFill>
            <w14:solidFill>
              <w14:srgbClr w14:val="424242"/>
            </w14:solidFill>
          </w14:textFill>
        </w:rPr>
        <w:t>. This free, community-based programme helps individuals referred by health and care professionals become more active. ALP supports early intervention and aligns with national priorities set by the Scottish Government and Public Health Scotland.</w:t>
      </w:r>
    </w:p>
    <w:p>
      <w:pPr>
        <w:pStyle w:val="Body"/>
      </w:pPr>
    </w:p>
    <w:p>
      <w:pPr>
        <w:pStyle w:val="Body"/>
        <w:rPr>
          <w:rStyle w:val="None"/>
          <w:rFonts w:ascii="Arial" w:cs="Arial" w:hAnsi="Arial" w:eastAsia="Arial"/>
        </w:rPr>
      </w:pPr>
    </w:p>
    <w:p>
      <w:pPr>
        <w:pStyle w:val="Body"/>
        <w:rPr>
          <w:rStyle w:val="None"/>
          <w:rFonts w:ascii="Arial" w:cs="Arial" w:hAnsi="Arial" w:eastAsia="Arial"/>
        </w:rPr>
      </w:pPr>
    </w:p>
    <w:p>
      <w:pPr>
        <w:pStyle w:val="Body"/>
        <w:rPr>
          <w:rStyle w:val="None"/>
          <w:rFonts w:ascii="Arial" w:cs="Arial" w:hAnsi="Arial" w:eastAsia="Arial"/>
        </w:rPr>
      </w:pPr>
    </w:p>
    <w:p>
      <w:pPr>
        <w:pStyle w:val="Body"/>
        <w:rPr>
          <w:rStyle w:val="None"/>
          <w:rFonts w:ascii="Arial" w:cs="Arial" w:hAnsi="Arial" w:eastAsia="Arial"/>
        </w:rPr>
      </w:pPr>
    </w:p>
    <w:p>
      <w:pPr>
        <w:pStyle w:val="Body"/>
        <w:rPr>
          <w:rStyle w:val="None"/>
          <w:rFonts w:ascii="Arial" w:cs="Arial" w:hAnsi="Arial" w:eastAsia="Arial"/>
        </w:rPr>
      </w:pPr>
    </w:p>
    <w:p>
      <w:pPr>
        <w:pStyle w:val="Body"/>
        <w:rPr>
          <w:rStyle w:val="None"/>
          <w:rFonts w:ascii="Arial" w:cs="Arial" w:hAnsi="Arial" w:eastAsia="Arial"/>
        </w:rPr>
      </w:pPr>
    </w:p>
    <w:p>
      <w:pPr>
        <w:pStyle w:val="Body"/>
        <w:rPr>
          <w:rStyle w:val="None"/>
          <w:rFonts w:ascii="Arial" w:cs="Arial" w:hAnsi="Arial" w:eastAsia="Arial"/>
        </w:rPr>
      </w:pPr>
    </w:p>
    <w:p>
      <w:pPr>
        <w:pStyle w:val="Body"/>
        <w:rPr>
          <w:rStyle w:val="None"/>
          <w:rFonts w:ascii="Arial" w:cs="Arial" w:hAnsi="Arial" w:eastAsia="Arial"/>
        </w:rPr>
      </w:pPr>
    </w:p>
    <w:p>
      <w:pPr>
        <w:pStyle w:val="Body"/>
        <w:rPr>
          <w:rStyle w:val="None"/>
          <w:rFonts w:ascii="Arial" w:cs="Arial" w:hAnsi="Arial" w:eastAsia="Arial"/>
          <w:u w:val="single"/>
        </w:rPr>
      </w:pPr>
      <w:r>
        <w:rPr>
          <w:rStyle w:val="None"/>
          <w:rFonts w:ascii="Arial" w:hAnsi="Arial"/>
          <w:u w:val="single"/>
          <w:rtl w:val="0"/>
          <w:lang w:val="en-US"/>
        </w:rPr>
        <w:t>What has the impact been for the population?</w:t>
      </w:r>
    </w:p>
    <w:p>
      <w:pPr>
        <w:pStyle w:val="Body"/>
        <w:rPr>
          <w:rStyle w:val="None"/>
          <w:rFonts w:ascii="Arial" w:cs="Arial" w:hAnsi="Arial" w:eastAsia="Arial"/>
        </w:rPr>
      </w:pPr>
      <w:r>
        <w:rPr>
          <w:rStyle w:val="None"/>
          <w:rFonts w:ascii="Arial" w:cs="Arial" w:hAnsi="Arial" w:eastAsia="Arial"/>
        </w:rPr>
        <w:drawing xmlns:a="http://schemas.openxmlformats.org/drawingml/2006/main">
          <wp:inline distT="0" distB="0" distL="0" distR="0">
            <wp:extent cx="7816850" cy="4679950"/>
            <wp:effectExtent l="0" t="0" r="0" b="0"/>
            <wp:docPr id="1073741832" name="officeArt object" descr="Graphic 1, Picture, Picture"/>
            <wp:cNvGraphicFramePr/>
            <a:graphic xmlns:a="http://schemas.openxmlformats.org/drawingml/2006/main">
              <a:graphicData uri="http://schemas.openxmlformats.org/drawingml/2006/picture">
                <pic:pic xmlns:pic="http://schemas.openxmlformats.org/drawingml/2006/picture">
                  <pic:nvPicPr>
                    <pic:cNvPr id="1073741832" name="Graphic 1, Picture, Picture" descr="Graphic 1, Picture, Picture"/>
                    <pic:cNvPicPr>
                      <a:picLocks noChangeAspect="1"/>
                    </pic:cNvPicPr>
                  </pic:nvPicPr>
                  <pic:blipFill>
                    <a:blip r:embed="rId5">
                      <a:extLst/>
                    </a:blip>
                    <a:stretch>
                      <a:fillRect/>
                    </a:stretch>
                  </pic:blipFill>
                  <pic:spPr>
                    <a:xfrm>
                      <a:off x="0" y="0"/>
                      <a:ext cx="7816850" cy="4679950"/>
                    </a:xfrm>
                    <a:prstGeom prst="rect">
                      <a:avLst/>
                    </a:prstGeom>
                    <a:ln w="12700" cap="flat">
                      <a:noFill/>
                      <a:miter lim="400000"/>
                    </a:ln>
                    <a:effectLst/>
                  </pic:spPr>
                </pic:pic>
              </a:graphicData>
            </a:graphic>
          </wp:inline>
        </w:drawing>
      </w:r>
      <w:r>
        <w:rPr>
          <w:rStyle w:val="None"/>
          <w:rFonts w:ascii="Arial" w:cs="Arial" w:hAnsi="Arial" w:eastAsia="Arial"/>
        </w:rPr>
        <w:br w:type="textWrapping"/>
      </w:r>
    </w:p>
    <w:p>
      <w:pPr>
        <w:pStyle w:val="Body"/>
        <w:rPr>
          <w:rStyle w:val="None"/>
          <w:rFonts w:ascii="Arial" w:cs="Arial" w:hAnsi="Arial" w:eastAsia="Arial"/>
        </w:rPr>
      </w:pPr>
    </w:p>
    <w:p>
      <w:pPr>
        <w:pStyle w:val="Body"/>
        <w:rPr>
          <w:rStyle w:val="None"/>
          <w:rFonts w:ascii="Arial" w:cs="Arial" w:hAnsi="Arial" w:eastAsia="Arial"/>
          <w:u w:val="single"/>
        </w:rPr>
      </w:pPr>
      <w:r>
        <w:rPr>
          <w:rStyle w:val="None"/>
          <w:rFonts w:ascii="Arial" w:hAnsi="Arial"/>
          <w:u w:val="single"/>
          <w:rtl w:val="0"/>
          <w:lang w:val="en-US"/>
        </w:rPr>
        <w:t>What impact has the project had on individuals?</w:t>
      </w:r>
    </w:p>
    <w:p>
      <w:pPr>
        <w:pStyle w:val="Body"/>
        <w:rPr>
          <w:rStyle w:val="None"/>
          <w:rFonts w:ascii="Arial" w:cs="Arial" w:hAnsi="Arial" w:eastAsia="Arial"/>
        </w:rPr>
      </w:pPr>
      <w:r>
        <w:rPr>
          <w:rStyle w:val="None"/>
          <w:rFonts w:ascii="Arial" w:cs="Arial" w:hAnsi="Arial" w:eastAsia="Arial"/>
        </w:rPr>
        <w:drawing xmlns:a="http://schemas.openxmlformats.org/drawingml/2006/main">
          <wp:inline distT="0" distB="0" distL="0" distR="0">
            <wp:extent cx="5429250" cy="3803650"/>
            <wp:effectExtent l="0" t="0" r="0" b="0"/>
            <wp:docPr id="1073741833" name="officeArt object" descr="Picture 1, Picture, Picture"/>
            <wp:cNvGraphicFramePr/>
            <a:graphic xmlns:a="http://schemas.openxmlformats.org/drawingml/2006/main">
              <a:graphicData uri="http://schemas.openxmlformats.org/drawingml/2006/picture">
                <pic:pic xmlns:pic="http://schemas.openxmlformats.org/drawingml/2006/picture">
                  <pic:nvPicPr>
                    <pic:cNvPr id="1073741833" name="Picture 1, Picture, Picture" descr="Picture 1, Picture, Picture"/>
                    <pic:cNvPicPr>
                      <a:picLocks noChangeAspect="1"/>
                    </pic:cNvPicPr>
                  </pic:nvPicPr>
                  <pic:blipFill>
                    <a:blip r:embed="rId6">
                      <a:extLst/>
                    </a:blip>
                    <a:stretch>
                      <a:fillRect/>
                    </a:stretch>
                  </pic:blipFill>
                  <pic:spPr>
                    <a:xfrm>
                      <a:off x="0" y="0"/>
                      <a:ext cx="5429250" cy="3803650"/>
                    </a:xfrm>
                    <a:prstGeom prst="rect">
                      <a:avLst/>
                    </a:prstGeom>
                    <a:ln w="12700" cap="flat">
                      <a:noFill/>
                      <a:miter lim="400000"/>
                    </a:ln>
                    <a:effectLst/>
                  </pic:spPr>
                </pic:pic>
              </a:graphicData>
            </a:graphic>
          </wp:inline>
        </w:drawing>
      </w:r>
      <w:r>
        <w:rPr>
          <w:rStyle w:val="None"/>
          <w:rFonts w:ascii="Arial" w:cs="Arial" w:hAnsi="Arial" w:eastAsia="Arial"/>
        </w:rPr>
        <w:br w:type="textWrapping"/>
      </w:r>
    </w:p>
    <w:p>
      <w:pPr>
        <w:pStyle w:val="Body"/>
        <w:rPr>
          <w:rStyle w:val="None"/>
          <w:rFonts w:ascii="Arial" w:cs="Arial" w:hAnsi="Arial" w:eastAsia="Arial"/>
        </w:rPr>
      </w:pPr>
    </w:p>
    <w:p>
      <w:pPr>
        <w:pStyle w:val="Body"/>
        <w:rPr>
          <w:rStyle w:val="None"/>
          <w:rFonts w:ascii="Arial" w:cs="Arial" w:hAnsi="Arial" w:eastAsia="Arial"/>
        </w:rPr>
      </w:pPr>
    </w:p>
    <w:p>
      <w:pPr>
        <w:pStyle w:val="Body"/>
        <w:rPr>
          <w:rStyle w:val="None"/>
          <w:rFonts w:ascii="Arial" w:cs="Arial" w:hAnsi="Arial" w:eastAsia="Arial"/>
        </w:rPr>
      </w:pPr>
    </w:p>
    <w:p>
      <w:pPr>
        <w:pStyle w:val="Body"/>
        <w:rPr>
          <w:rStyle w:val="None"/>
          <w:rFonts w:ascii="Arial" w:cs="Arial" w:hAnsi="Arial" w:eastAsia="Arial"/>
          <w:b w:val="1"/>
          <w:bCs w:val="1"/>
          <w:outline w:val="0"/>
          <w:color w:val="000000"/>
          <w:u w:color="000000"/>
          <w14:textFill>
            <w14:solidFill>
              <w14:srgbClr w14:val="000000"/>
            </w14:solidFill>
          </w14:textFill>
        </w:rPr>
      </w:pPr>
    </w:p>
    <w:p>
      <w:pPr>
        <w:pStyle w:val="Body"/>
        <w:rPr>
          <w:rStyle w:val="None"/>
          <w:rFonts w:ascii="Arial" w:cs="Arial" w:hAnsi="Arial" w:eastAsia="Arial"/>
          <w:b w:val="1"/>
          <w:bCs w:val="1"/>
          <w:outline w:val="0"/>
          <w:color w:val="000000"/>
          <w:u w:color="000000"/>
          <w14:textFill>
            <w14:solidFill>
              <w14:srgbClr w14:val="000000"/>
            </w14:solidFill>
          </w14:textFill>
        </w:rPr>
      </w:pPr>
      <w:r>
        <w:rPr>
          <w:rStyle w:val="None"/>
          <w:rFonts w:ascii="Arial" w:hAnsi="Arial"/>
          <w:b w:val="1"/>
          <w:bCs w:val="1"/>
          <w:outline w:val="0"/>
          <w:color w:val="000000"/>
          <w:u w:color="000000"/>
          <w:rtl w:val="0"/>
          <w:lang w:val="en-US"/>
          <w14:textFill>
            <w14:solidFill>
              <w14:srgbClr w14:val="000000"/>
            </w14:solidFill>
          </w14:textFill>
        </w:rPr>
        <w:t>Case Study 2: Tackling Fuel Poverty in Dumfries and Galloway</w:t>
      </w:r>
    </w:p>
    <w:p>
      <w:pPr>
        <w:pStyle w:val="Body"/>
        <w:rPr>
          <w:rStyle w:val="None"/>
          <w:rFonts w:ascii="Arial" w:cs="Arial" w:hAnsi="Arial" w:eastAsia="Arial"/>
        </w:rPr>
      </w:pPr>
      <w:r>
        <w:rPr>
          <w:rStyle w:val="None"/>
          <w:rFonts w:ascii="Arial" w:hAnsi="Arial"/>
          <w:b w:val="1"/>
          <w:bCs w:val="1"/>
          <w:rtl w:val="0"/>
          <w:lang w:val="en-US"/>
        </w:rPr>
        <w:t>LOIP Outcome 1: Help mitigate the impacts of the Cost of Living for those who are affected most</w:t>
      </w:r>
    </w:p>
    <w:p>
      <w:pPr>
        <w:pStyle w:val="Body"/>
        <w:rPr>
          <w:rStyle w:val="None"/>
          <w:rFonts w:ascii="Arial" w:cs="Arial" w:hAnsi="Arial" w:eastAsia="Arial"/>
          <w:b w:val="1"/>
          <w:bCs w:val="1"/>
          <w:outline w:val="0"/>
          <w:color w:val="000000"/>
          <w:u w:color="000000"/>
          <w14:textFill>
            <w14:solidFill>
              <w14:srgbClr w14:val="000000"/>
            </w14:solidFill>
          </w14:textFill>
        </w:rPr>
      </w:pPr>
      <w:r>
        <w:rPr>
          <w:rStyle w:val="None"/>
          <w:rFonts w:ascii="Arial" w:hAnsi="Arial"/>
          <w:b w:val="1"/>
          <w:bCs w:val="1"/>
          <w:outline w:val="0"/>
          <w:color w:val="000000"/>
          <w:u w:color="000000"/>
          <w:rtl w:val="0"/>
          <w:lang w:val="en-US"/>
          <w14:textFill>
            <w14:solidFill>
              <w14:srgbClr w14:val="000000"/>
            </w14:solidFill>
          </w14:textFill>
        </w:rPr>
        <w:t>Background</w:t>
      </w:r>
    </w:p>
    <w:p>
      <w:pPr>
        <w:pStyle w:val="Body"/>
        <w:rPr>
          <w:rStyle w:val="None"/>
          <w:rFonts w:ascii="Arial" w:cs="Arial" w:hAnsi="Arial" w:eastAsia="Arial"/>
          <w:outline w:val="0"/>
          <w:color w:val="000000"/>
          <w:u w:color="000000"/>
          <w14:textFill>
            <w14:solidFill>
              <w14:srgbClr w14:val="000000"/>
            </w14:solidFill>
          </w14:textFill>
        </w:rPr>
      </w:pPr>
      <w:r>
        <w:rPr>
          <w:rStyle w:val="None"/>
          <w:rFonts w:ascii="Arial" w:hAnsi="Arial"/>
          <w:outline w:val="0"/>
          <w:color w:val="000000"/>
          <w:u w:color="000000"/>
          <w:rtl w:val="0"/>
          <w:lang w:val="en-US"/>
          <w14:textFill>
            <w14:solidFill>
              <w14:srgbClr w14:val="000000"/>
            </w14:solidFill>
          </w14:textFill>
        </w:rPr>
        <w:t>Dumfries and Galloway faces disproportionately high levels of fuel poverty, with 37% of households affected</w:t>
      </w:r>
      <w:r>
        <w:rPr>
          <w:rStyle w:val="None"/>
          <w:rFonts w:ascii="Arial" w:hAnsi="Arial" w:hint="default"/>
          <w:outline w:val="0"/>
          <w:color w:val="000000"/>
          <w:u w:color="000000"/>
          <w:rtl w:val="0"/>
          <w:lang w:val="en-US"/>
          <w14:textFill>
            <w14:solidFill>
              <w14:srgbClr w14:val="000000"/>
            </w14:solidFill>
          </w14:textFill>
        </w:rPr>
        <w:t>—</w:t>
      </w:r>
      <w:r>
        <w:rPr>
          <w:rStyle w:val="None"/>
          <w:rFonts w:ascii="Arial" w:hAnsi="Arial"/>
          <w:outline w:val="0"/>
          <w:color w:val="000000"/>
          <w:u w:color="000000"/>
          <w:rtl w:val="0"/>
          <w:lang w:val="en-US"/>
          <w14:textFill>
            <w14:solidFill>
              <w14:srgbClr w14:val="000000"/>
            </w14:solidFill>
          </w14:textFill>
        </w:rPr>
        <w:t>well above the Scottish average of 31%. Contributing factors include a high number of single pensioners, older housing stock, and 39% of homes being off the gas grid, relying on costly heating fuels like oil and LPG.</w:t>
      </w:r>
    </w:p>
    <w:p>
      <w:pPr>
        <w:pStyle w:val="Body"/>
        <w:rPr>
          <w:rStyle w:val="None"/>
          <w:rFonts w:ascii="Arial" w:cs="Arial" w:hAnsi="Arial" w:eastAsia="Arial"/>
          <w:b w:val="1"/>
          <w:bCs w:val="1"/>
          <w:outline w:val="0"/>
          <w:color w:val="000000"/>
          <w:u w:color="000000"/>
          <w14:textFill>
            <w14:solidFill>
              <w14:srgbClr w14:val="000000"/>
            </w14:solidFill>
          </w14:textFill>
        </w:rPr>
      </w:pPr>
      <w:r>
        <w:rPr>
          <w:rStyle w:val="None"/>
          <w:rFonts w:ascii="Arial" w:hAnsi="Arial"/>
          <w:b w:val="1"/>
          <w:bCs w:val="1"/>
          <w:outline w:val="0"/>
          <w:color w:val="000000"/>
          <w:u w:color="000000"/>
          <w:rtl w:val="0"/>
          <w:lang w:val="en-US"/>
          <w14:textFill>
            <w14:solidFill>
              <w14:srgbClr w14:val="000000"/>
            </w14:solidFill>
          </w14:textFill>
        </w:rPr>
        <w:t>Project Overview</w:t>
      </w:r>
    </w:p>
    <w:p>
      <w:pPr>
        <w:pStyle w:val="Body"/>
        <w:rPr>
          <w:rStyle w:val="None"/>
          <w:rFonts w:ascii="Arial" w:cs="Arial" w:hAnsi="Arial" w:eastAsia="Arial"/>
          <w:outline w:val="0"/>
          <w:color w:val="000000"/>
          <w:u w:color="000000"/>
          <w14:textFill>
            <w14:solidFill>
              <w14:srgbClr w14:val="000000"/>
            </w14:solidFill>
          </w14:textFill>
        </w:rPr>
      </w:pPr>
      <w:r>
        <w:rPr>
          <w:rStyle w:val="None"/>
          <w:rFonts w:ascii="Arial" w:hAnsi="Arial"/>
          <w:outline w:val="0"/>
          <w:color w:val="000000"/>
          <w:u w:color="000000"/>
          <w:rtl w:val="0"/>
          <w:lang w:val="en-US"/>
          <w14:textFill>
            <w14:solidFill>
              <w14:srgbClr w14:val="000000"/>
            </w14:solidFill>
          </w14:textFill>
        </w:rPr>
        <w:t>In response, the</w:t>
      </w:r>
      <w:r>
        <w:rPr>
          <w:rStyle w:val="None"/>
          <w:rFonts w:ascii="Arial" w:hAnsi="Arial" w:hint="default"/>
          <w:outline w:val="0"/>
          <w:color w:val="000000"/>
          <w:u w:color="000000"/>
          <w:rtl w:val="0"/>
          <w:lang w:val="en-US"/>
          <w14:textFill>
            <w14:solidFill>
              <w14:srgbClr w14:val="000000"/>
            </w14:solidFill>
          </w14:textFill>
        </w:rPr>
        <w:t> </w:t>
      </w:r>
      <w:r>
        <w:rPr>
          <w:rStyle w:val="None"/>
          <w:rFonts w:ascii="Arial" w:hAnsi="Arial"/>
          <w:outline w:val="0"/>
          <w:color w:val="000000"/>
          <w:u w:color="000000"/>
          <w:rtl w:val="0"/>
          <w:lang w:val="en-US"/>
          <w14:textFill>
            <w14:solidFill>
              <w14:srgbClr w14:val="000000"/>
            </w14:solidFill>
          </w14:textFill>
        </w:rPr>
        <w:t>Dumfries &amp; Galloway Poverty and Inequalities Partnership</w:t>
      </w:r>
      <w:r>
        <w:rPr>
          <w:rStyle w:val="None"/>
          <w:rFonts w:ascii="Arial" w:hAnsi="Arial" w:hint="default"/>
          <w:outline w:val="0"/>
          <w:color w:val="000000"/>
          <w:u w:color="000000"/>
          <w:rtl w:val="0"/>
          <w:lang w:val="en-US"/>
          <w14:textFill>
            <w14:solidFill>
              <w14:srgbClr w14:val="000000"/>
            </w14:solidFill>
          </w14:textFill>
        </w:rPr>
        <w:t> </w:t>
      </w:r>
      <w:r>
        <w:rPr>
          <w:rStyle w:val="None"/>
          <w:rFonts w:ascii="Arial" w:hAnsi="Arial"/>
          <w:outline w:val="0"/>
          <w:color w:val="000000"/>
          <w:u w:color="000000"/>
          <w:rtl w:val="0"/>
          <w:lang w:val="en-US"/>
          <w14:textFill>
            <w14:solidFill>
              <w14:srgbClr w14:val="000000"/>
            </w14:solidFill>
          </w14:textFill>
        </w:rPr>
        <w:t>launched the</w:t>
      </w:r>
      <w:r>
        <w:rPr>
          <w:rStyle w:val="None"/>
          <w:rFonts w:ascii="Arial" w:hAnsi="Arial" w:hint="default"/>
          <w:outline w:val="0"/>
          <w:color w:val="000000"/>
          <w:u w:color="000000"/>
          <w:rtl w:val="0"/>
          <w:lang w:val="en-US"/>
          <w14:textFill>
            <w14:solidFill>
              <w14:srgbClr w14:val="000000"/>
            </w14:solidFill>
          </w14:textFill>
        </w:rPr>
        <w:t> </w:t>
      </w:r>
      <w:r>
        <w:rPr>
          <w:rStyle w:val="None"/>
          <w:rFonts w:ascii="Arial" w:hAnsi="Arial"/>
          <w:outline w:val="0"/>
          <w:color w:val="000000"/>
          <w:u w:color="000000"/>
          <w:rtl w:val="0"/>
          <w:lang w:val="en-US"/>
          <w14:textFill>
            <w14:solidFill>
              <w14:srgbClr w14:val="000000"/>
            </w14:solidFill>
          </w14:textFill>
        </w:rPr>
        <w:t>Winter Warmth Project</w:t>
      </w:r>
      <w:r>
        <w:rPr>
          <w:rStyle w:val="None"/>
          <w:rFonts w:ascii="Arial" w:hAnsi="Arial" w:hint="default"/>
          <w:outline w:val="0"/>
          <w:color w:val="000000"/>
          <w:u w:color="000000"/>
          <w:rtl w:val="0"/>
          <w:lang w:val="en-US"/>
          <w14:textFill>
            <w14:solidFill>
              <w14:srgbClr w14:val="000000"/>
            </w14:solidFill>
          </w14:textFill>
        </w:rPr>
        <w:t> </w:t>
      </w:r>
      <w:r>
        <w:rPr>
          <w:rStyle w:val="None"/>
          <w:rFonts w:ascii="Arial" w:hAnsi="Arial"/>
          <w:outline w:val="0"/>
          <w:color w:val="000000"/>
          <w:u w:color="000000"/>
          <w:rtl w:val="0"/>
          <w:lang w:val="en-US"/>
          <w14:textFill>
            <w14:solidFill>
              <w14:srgbClr w14:val="000000"/>
            </w14:solidFill>
          </w14:textFill>
        </w:rPr>
        <w:t>in November 2024. The initiative aimed to reduce fuel poverty through awareness, support, and direct aid. Key partners included:</w:t>
      </w:r>
    </w:p>
    <w:p>
      <w:pPr>
        <w:pStyle w:val="Body"/>
        <w:numPr>
          <w:ilvl w:val="0"/>
          <w:numId w:val="33"/>
        </w:numPr>
        <w:bidi w:val="0"/>
        <w:ind w:right="0"/>
        <w:jc w:val="left"/>
        <w:rPr>
          <w:rFonts w:ascii="Arial" w:hAnsi="Arial"/>
          <w:rtl w:val="0"/>
          <w:lang w:val="en-US"/>
        </w:rPr>
      </w:pPr>
      <w:r>
        <w:rPr>
          <w:rStyle w:val="None"/>
          <w:rFonts w:ascii="Arial" w:hAnsi="Arial"/>
          <w:outline w:val="0"/>
          <w:color w:val="000000"/>
          <w:u w:color="000000"/>
          <w:rtl w:val="0"/>
          <w:lang w:val="en-US"/>
          <w14:textFill>
            <w14:solidFill>
              <w14:srgbClr w14:val="000000"/>
            </w14:solidFill>
          </w14:textFill>
        </w:rPr>
        <w:t>Lemon-Aid Fuel Poverty Project</w:t>
      </w:r>
    </w:p>
    <w:p>
      <w:pPr>
        <w:pStyle w:val="Body"/>
        <w:numPr>
          <w:ilvl w:val="0"/>
          <w:numId w:val="33"/>
        </w:numPr>
        <w:bidi w:val="0"/>
        <w:ind w:right="0"/>
        <w:jc w:val="left"/>
        <w:rPr>
          <w:rFonts w:ascii="Arial" w:hAnsi="Arial"/>
          <w:rtl w:val="0"/>
          <w:lang w:val="en-US"/>
        </w:rPr>
      </w:pPr>
      <w:r>
        <w:rPr>
          <w:rStyle w:val="None"/>
          <w:rFonts w:ascii="Arial" w:hAnsi="Arial"/>
          <w:outline w:val="0"/>
          <w:color w:val="000000"/>
          <w:u w:color="000000"/>
          <w:rtl w:val="0"/>
          <w:lang w:val="en-US"/>
          <w14:textFill>
            <w14:solidFill>
              <w14:srgbClr w14:val="000000"/>
            </w14:solidFill>
          </w14:textFill>
        </w:rPr>
        <w:t>Dumfries and Galloway Council</w:t>
      </w:r>
    </w:p>
    <w:p>
      <w:pPr>
        <w:pStyle w:val="Body"/>
        <w:numPr>
          <w:ilvl w:val="0"/>
          <w:numId w:val="33"/>
        </w:numPr>
        <w:bidi w:val="0"/>
        <w:ind w:right="0"/>
        <w:jc w:val="left"/>
        <w:rPr>
          <w:rFonts w:ascii="Arial" w:hAnsi="Arial"/>
          <w:rtl w:val="0"/>
          <w:lang w:val="en-US"/>
        </w:rPr>
      </w:pPr>
      <w:r>
        <w:rPr>
          <w:rStyle w:val="None"/>
          <w:rFonts w:ascii="Arial" w:hAnsi="Arial"/>
          <w:outline w:val="0"/>
          <w:color w:val="000000"/>
          <w:u w:color="000000"/>
          <w:rtl w:val="0"/>
          <w:lang w:val="en-US"/>
          <w14:textFill>
            <w14:solidFill>
              <w14:srgbClr w14:val="000000"/>
            </w14:solidFill>
          </w14:textFill>
        </w:rPr>
        <w:t>Citizens Advice Service</w:t>
      </w:r>
    </w:p>
    <w:p>
      <w:pPr>
        <w:pStyle w:val="Body"/>
        <w:numPr>
          <w:ilvl w:val="0"/>
          <w:numId w:val="33"/>
        </w:numPr>
        <w:bidi w:val="0"/>
        <w:ind w:right="0"/>
        <w:jc w:val="left"/>
        <w:rPr>
          <w:rFonts w:ascii="Arial" w:hAnsi="Arial"/>
          <w:rtl w:val="0"/>
          <w:lang w:val="en-US"/>
        </w:rPr>
      </w:pPr>
      <w:r>
        <w:rPr>
          <w:rStyle w:val="None"/>
          <w:rFonts w:ascii="Arial" w:hAnsi="Arial"/>
          <w:outline w:val="0"/>
          <w:color w:val="000000"/>
          <w:u w:color="000000"/>
          <w:rtl w:val="0"/>
          <w:lang w:val="en-US"/>
          <w14:textFill>
            <w14:solidFill>
              <w14:srgbClr w14:val="000000"/>
            </w14:solidFill>
          </w14:textFill>
        </w:rPr>
        <w:t>Home Energy Scotland</w:t>
      </w:r>
    </w:p>
    <w:p>
      <w:pPr>
        <w:pStyle w:val="Body"/>
        <w:numPr>
          <w:ilvl w:val="0"/>
          <w:numId w:val="33"/>
        </w:numPr>
        <w:bidi w:val="0"/>
        <w:ind w:right="0"/>
        <w:jc w:val="left"/>
        <w:rPr>
          <w:rFonts w:ascii="Arial" w:hAnsi="Arial"/>
          <w:rtl w:val="0"/>
          <w:lang w:val="en-US"/>
        </w:rPr>
      </w:pPr>
      <w:r>
        <w:rPr>
          <w:rStyle w:val="None"/>
          <w:rFonts w:ascii="Arial" w:hAnsi="Arial"/>
          <w:outline w:val="0"/>
          <w:color w:val="000000"/>
          <w:u w:color="000000"/>
          <w:rtl w:val="0"/>
          <w:lang w:val="en-US"/>
          <w14:textFill>
            <w14:solidFill>
              <w14:srgbClr w14:val="000000"/>
            </w14:solidFill>
          </w14:textFill>
        </w:rPr>
        <w:t>Scottish Fire and Rescue</w:t>
      </w:r>
    </w:p>
    <w:p>
      <w:pPr>
        <w:pStyle w:val="Body"/>
        <w:numPr>
          <w:ilvl w:val="0"/>
          <w:numId w:val="33"/>
        </w:numPr>
        <w:bidi w:val="0"/>
        <w:ind w:right="0"/>
        <w:jc w:val="left"/>
        <w:rPr>
          <w:rFonts w:ascii="Arial" w:hAnsi="Arial"/>
          <w:rtl w:val="0"/>
          <w:lang w:val="en-US"/>
        </w:rPr>
      </w:pPr>
      <w:r>
        <w:rPr>
          <w:rStyle w:val="None"/>
          <w:rFonts w:ascii="Arial" w:hAnsi="Arial"/>
          <w:outline w:val="0"/>
          <w:color w:val="000000"/>
          <w:u w:color="000000"/>
          <w:rtl w:val="0"/>
          <w:lang w:val="en-US"/>
          <w14:textFill>
            <w14:solidFill>
              <w14:srgbClr w14:val="000000"/>
            </w14:solidFill>
          </w14:textFill>
        </w:rPr>
        <w:t>Third Sector Dumfries &amp; Galloway</w:t>
      </w:r>
    </w:p>
    <w:p>
      <w:pPr>
        <w:pStyle w:val="Body"/>
        <w:numPr>
          <w:ilvl w:val="0"/>
          <w:numId w:val="33"/>
        </w:numPr>
        <w:bidi w:val="0"/>
        <w:ind w:right="0"/>
        <w:jc w:val="left"/>
        <w:rPr>
          <w:rFonts w:ascii="Arial" w:hAnsi="Arial"/>
          <w:rtl w:val="0"/>
          <w:lang w:val="en-US"/>
        </w:rPr>
      </w:pPr>
      <w:r>
        <w:rPr>
          <w:rStyle w:val="None"/>
          <w:rFonts w:ascii="Arial" w:hAnsi="Arial"/>
          <w:outline w:val="0"/>
          <w:color w:val="000000"/>
          <w:u w:color="000000"/>
          <w:rtl w:val="0"/>
          <w:lang w:val="en-US"/>
          <w14:textFill>
            <w14:solidFill>
              <w14:srgbClr w14:val="000000"/>
            </w14:solidFill>
          </w14:textFill>
        </w:rPr>
        <w:t>Social Security Scotland</w:t>
      </w:r>
    </w:p>
    <w:p>
      <w:pPr>
        <w:pStyle w:val="Body"/>
        <w:numPr>
          <w:ilvl w:val="0"/>
          <w:numId w:val="33"/>
        </w:numPr>
        <w:bidi w:val="0"/>
        <w:ind w:right="0"/>
        <w:jc w:val="left"/>
        <w:rPr>
          <w:rFonts w:ascii="Arial" w:hAnsi="Arial"/>
          <w:rtl w:val="0"/>
          <w:lang w:val="en-US"/>
        </w:rPr>
      </w:pPr>
      <w:r>
        <w:rPr>
          <w:rStyle w:val="None"/>
          <w:rFonts w:ascii="Arial" w:hAnsi="Arial"/>
          <w:outline w:val="0"/>
          <w:color w:val="000000"/>
          <w:u w:color="000000"/>
          <w:rtl w:val="0"/>
          <w:lang w:val="en-US"/>
          <w14:textFill>
            <w14:solidFill>
              <w14:srgbClr w14:val="000000"/>
            </w14:solidFill>
          </w14:textFill>
        </w:rPr>
        <w:t>NHS Dumfries and Galloway</w:t>
      </w:r>
    </w:p>
    <w:p>
      <w:pPr>
        <w:pStyle w:val="Body"/>
        <w:rPr>
          <w:rStyle w:val="None"/>
          <w:rFonts w:ascii="Arial" w:cs="Arial" w:hAnsi="Arial" w:eastAsia="Arial"/>
          <w:b w:val="1"/>
          <w:bCs w:val="1"/>
          <w:outline w:val="0"/>
          <w:color w:val="000000"/>
          <w:u w:color="000000"/>
          <w14:textFill>
            <w14:solidFill>
              <w14:srgbClr w14:val="000000"/>
            </w14:solidFill>
          </w14:textFill>
        </w:rPr>
      </w:pPr>
      <w:r>
        <w:rPr>
          <w:rStyle w:val="None"/>
          <w:rFonts w:ascii="Arial" w:hAnsi="Arial"/>
          <w:b w:val="1"/>
          <w:bCs w:val="1"/>
          <w:outline w:val="0"/>
          <w:color w:val="000000"/>
          <w:u w:color="000000"/>
          <w:rtl w:val="0"/>
          <w:lang w:val="en-US"/>
          <w14:textFill>
            <w14:solidFill>
              <w14:srgbClr w14:val="000000"/>
            </w14:solidFill>
          </w14:textFill>
        </w:rPr>
        <w:t>Actions Taken</w:t>
      </w:r>
    </w:p>
    <w:p>
      <w:pPr>
        <w:pStyle w:val="Body"/>
        <w:numPr>
          <w:ilvl w:val="0"/>
          <w:numId w:val="35"/>
        </w:numPr>
        <w:bidi w:val="0"/>
        <w:ind w:right="0"/>
        <w:jc w:val="left"/>
        <w:rPr>
          <w:rFonts w:ascii="Arial" w:hAnsi="Arial"/>
          <w:rtl w:val="0"/>
          <w:lang w:val="en-US"/>
        </w:rPr>
      </w:pPr>
      <w:r>
        <w:rPr>
          <w:rStyle w:val="None"/>
          <w:rFonts w:ascii="Arial" w:hAnsi="Arial"/>
          <w:outline w:val="0"/>
          <w:color w:val="000000"/>
          <w:u w:color="000000"/>
          <w:rtl w:val="0"/>
          <w:lang w:val="en-US"/>
          <w14:textFill>
            <w14:solidFill>
              <w14:srgbClr w14:val="000000"/>
            </w14:solidFill>
          </w14:textFill>
        </w:rPr>
        <w:t>Distributed</w:t>
      </w:r>
      <w:r>
        <w:rPr>
          <w:rStyle w:val="None"/>
          <w:rFonts w:ascii="Arial" w:hAnsi="Arial" w:hint="default"/>
          <w:outline w:val="0"/>
          <w:color w:val="000000"/>
          <w:u w:color="000000"/>
          <w:rtl w:val="0"/>
          <w:lang w:val="en-US"/>
          <w14:textFill>
            <w14:solidFill>
              <w14:srgbClr w14:val="000000"/>
            </w14:solidFill>
          </w14:textFill>
        </w:rPr>
        <w:t> </w:t>
      </w:r>
      <w:r>
        <w:rPr>
          <w:rStyle w:val="None"/>
          <w:rFonts w:ascii="Arial" w:hAnsi="Arial"/>
          <w:outline w:val="0"/>
          <w:color w:val="000000"/>
          <w:u w:color="000000"/>
          <w:rtl w:val="0"/>
          <w:lang w:val="en-US"/>
          <w14:textFill>
            <w14:solidFill>
              <w14:srgbClr w14:val="000000"/>
            </w14:solidFill>
          </w14:textFill>
        </w:rPr>
        <w:t>80,000 easy-read leaflets</w:t>
      </w:r>
      <w:r>
        <w:rPr>
          <w:rStyle w:val="None"/>
          <w:rFonts w:ascii="Arial" w:hAnsi="Arial" w:hint="default"/>
          <w:outline w:val="0"/>
          <w:color w:val="000000"/>
          <w:u w:color="000000"/>
          <w:rtl w:val="0"/>
          <w:lang w:val="en-US"/>
          <w14:textFill>
            <w14:solidFill>
              <w14:srgbClr w14:val="000000"/>
            </w14:solidFill>
          </w14:textFill>
        </w:rPr>
        <w:t> </w:t>
      </w:r>
      <w:r>
        <w:rPr>
          <w:rStyle w:val="None"/>
          <w:rFonts w:ascii="Arial" w:hAnsi="Arial"/>
          <w:outline w:val="0"/>
          <w:color w:val="000000"/>
          <w:u w:color="000000"/>
          <w:rtl w:val="0"/>
          <w:lang w:val="en-US"/>
          <w14:textFill>
            <w14:solidFill>
              <w14:srgbClr w14:val="000000"/>
            </w14:solidFill>
          </w14:textFill>
        </w:rPr>
        <w:t>offering advice and contact details for support services.</w:t>
      </w:r>
    </w:p>
    <w:p>
      <w:pPr>
        <w:pStyle w:val="Body"/>
        <w:numPr>
          <w:ilvl w:val="0"/>
          <w:numId w:val="36"/>
        </w:numPr>
        <w:bidi w:val="0"/>
        <w:spacing w:after="0" w:line="240" w:lineRule="auto"/>
        <w:ind w:right="0"/>
        <w:jc w:val="left"/>
        <w:rPr>
          <w:rFonts w:ascii="Arial" w:hAnsi="Arial"/>
          <w:rtl w:val="0"/>
          <w:lang w:val="en-US"/>
        </w:rPr>
      </w:pPr>
      <w:r>
        <w:rPr>
          <w:rStyle w:val="None"/>
          <w:rFonts w:ascii="Arial" w:hAnsi="Arial"/>
          <w:outline w:val="0"/>
          <w:color w:val="000000"/>
          <w:u w:color="000000"/>
          <w:rtl w:val="0"/>
          <w:lang w:val="en-US"/>
          <w14:textFill>
            <w14:solidFill>
              <w14:srgbClr w14:val="000000"/>
            </w14:solidFill>
          </w14:textFill>
        </w:rPr>
        <w:t>Targeted outreach to older residents with tailored messaging.</w:t>
      </w:r>
    </w:p>
    <w:p>
      <w:pPr>
        <w:pStyle w:val="Body"/>
        <w:numPr>
          <w:ilvl w:val="0"/>
          <w:numId w:val="36"/>
        </w:numPr>
        <w:bidi w:val="0"/>
        <w:spacing w:after="0" w:line="240" w:lineRule="auto"/>
        <w:ind w:right="0"/>
        <w:jc w:val="left"/>
        <w:rPr>
          <w:rFonts w:ascii="Arial" w:hAnsi="Arial"/>
          <w:rtl w:val="0"/>
          <w:lang w:val="en-US"/>
        </w:rPr>
      </w:pPr>
      <w:r>
        <w:rPr>
          <w:rStyle w:val="None"/>
          <w:rFonts w:ascii="Arial" w:hAnsi="Arial"/>
          <w:outline w:val="0"/>
          <w:color w:val="000000"/>
          <w:u w:color="000000"/>
          <w:rtl w:val="0"/>
          <w:lang w:val="en-US"/>
          <w14:textFill>
            <w14:solidFill>
              <w14:srgbClr w14:val="000000"/>
            </w14:solidFill>
          </w14:textFill>
        </w:rPr>
        <w:t>Ran a</w:t>
      </w:r>
      <w:r>
        <w:rPr>
          <w:rStyle w:val="None"/>
          <w:rFonts w:ascii="Arial" w:hAnsi="Arial" w:hint="default"/>
          <w:outline w:val="0"/>
          <w:color w:val="000000"/>
          <w:u w:color="000000"/>
          <w:rtl w:val="0"/>
          <w:lang w:val="en-US"/>
          <w14:textFill>
            <w14:solidFill>
              <w14:srgbClr w14:val="000000"/>
            </w14:solidFill>
          </w14:textFill>
        </w:rPr>
        <w:t> </w:t>
      </w:r>
      <w:r>
        <w:rPr>
          <w:rStyle w:val="None"/>
          <w:rFonts w:ascii="Arial" w:hAnsi="Arial"/>
          <w:outline w:val="0"/>
          <w:color w:val="000000"/>
          <w:u w:color="000000"/>
          <w:rtl w:val="0"/>
          <w:lang w:val="en-US"/>
          <w14:textFill>
            <w14:solidFill>
              <w14:srgbClr w14:val="000000"/>
            </w14:solidFill>
          </w14:textFill>
        </w:rPr>
        <w:t>media and social media campaign, featured on ITV and Border News.</w:t>
      </w:r>
    </w:p>
    <w:p>
      <w:pPr>
        <w:pStyle w:val="Body"/>
        <w:numPr>
          <w:ilvl w:val="0"/>
          <w:numId w:val="36"/>
        </w:numPr>
        <w:bidi w:val="0"/>
        <w:spacing w:after="0" w:line="240" w:lineRule="auto"/>
        <w:ind w:right="0"/>
        <w:jc w:val="left"/>
        <w:rPr>
          <w:rFonts w:ascii="Arial" w:hAnsi="Arial"/>
          <w:rtl w:val="0"/>
          <w:lang w:val="en-US"/>
        </w:rPr>
      </w:pPr>
      <w:r>
        <w:rPr>
          <w:rStyle w:val="None"/>
          <w:rFonts w:ascii="Arial" w:hAnsi="Arial"/>
          <w:outline w:val="0"/>
          <w:color w:val="000000"/>
          <w:u w:color="000000"/>
          <w:rtl w:val="0"/>
          <w:lang w:val="en-US"/>
          <w14:textFill>
            <w14:solidFill>
              <w14:srgbClr w14:val="000000"/>
            </w14:solidFill>
          </w14:textFill>
        </w:rPr>
        <w:t>Provided</w:t>
      </w:r>
      <w:r>
        <w:rPr>
          <w:rStyle w:val="None"/>
          <w:rFonts w:ascii="Arial" w:hAnsi="Arial" w:hint="default"/>
          <w:outline w:val="0"/>
          <w:color w:val="000000"/>
          <w:u w:color="000000"/>
          <w:rtl w:val="0"/>
          <w:lang w:val="en-US"/>
          <w14:textFill>
            <w14:solidFill>
              <w14:srgbClr w14:val="000000"/>
            </w14:solidFill>
          </w14:textFill>
        </w:rPr>
        <w:t> </w:t>
      </w:r>
      <w:r>
        <w:rPr>
          <w:rStyle w:val="None"/>
          <w:rFonts w:ascii="Arial" w:hAnsi="Arial"/>
          <w:outline w:val="0"/>
          <w:color w:val="000000"/>
          <w:u w:color="000000"/>
          <w:rtl w:val="0"/>
          <w:lang w:val="en-US"/>
          <w14:textFill>
            <w14:solidFill>
              <w14:srgbClr w14:val="000000"/>
            </w14:solidFill>
          </w14:textFill>
        </w:rPr>
        <w:t>winter warmth items</w:t>
      </w:r>
      <w:r>
        <w:rPr>
          <w:rStyle w:val="None"/>
          <w:rFonts w:ascii="Arial" w:hAnsi="Arial" w:hint="default"/>
          <w:outline w:val="0"/>
          <w:color w:val="000000"/>
          <w:u w:color="000000"/>
          <w:rtl w:val="0"/>
          <w:lang w:val="en-US"/>
          <w14:textFill>
            <w14:solidFill>
              <w14:srgbClr w14:val="000000"/>
            </w14:solidFill>
          </w14:textFill>
        </w:rPr>
        <w:t> </w:t>
      </w:r>
      <w:r>
        <w:rPr>
          <w:rStyle w:val="None"/>
          <w:rFonts w:ascii="Arial" w:hAnsi="Arial"/>
          <w:outline w:val="0"/>
          <w:color w:val="000000"/>
          <w:u w:color="000000"/>
          <w:rtl w:val="0"/>
          <w:lang w:val="en-US"/>
          <w14:textFill>
            <w14:solidFill>
              <w14:srgbClr w14:val="000000"/>
            </w14:solidFill>
          </w14:textFill>
        </w:rPr>
        <w:t>including heated blankets, gloves, and mugs.</w:t>
      </w:r>
    </w:p>
    <w:p>
      <w:pPr>
        <w:pStyle w:val="Body"/>
        <w:spacing w:after="0" w:line="240" w:lineRule="auto"/>
        <w:rPr>
          <w:rStyle w:val="None"/>
          <w:rFonts w:ascii="Arial" w:cs="Arial" w:hAnsi="Arial" w:eastAsia="Arial"/>
          <w:b w:val="1"/>
          <w:bCs w:val="1"/>
          <w:outline w:val="0"/>
          <w:color w:val="000000"/>
          <w:u w:color="000000"/>
          <w14:textFill>
            <w14:solidFill>
              <w14:srgbClr w14:val="000000"/>
            </w14:solidFill>
          </w14:textFill>
        </w:rPr>
      </w:pPr>
    </w:p>
    <w:p>
      <w:pPr>
        <w:pStyle w:val="Body"/>
        <w:spacing w:after="0" w:line="240" w:lineRule="auto"/>
        <w:rPr>
          <w:rStyle w:val="None"/>
          <w:rFonts w:ascii="Arial" w:cs="Arial" w:hAnsi="Arial" w:eastAsia="Arial"/>
          <w:outline w:val="0"/>
          <w:color w:val="000000"/>
          <w:u w:color="000000"/>
          <w14:textFill>
            <w14:solidFill>
              <w14:srgbClr w14:val="000000"/>
            </w14:solidFill>
          </w14:textFill>
        </w:rPr>
      </w:pPr>
      <w:r>
        <w:rPr>
          <w:rStyle w:val="None"/>
          <w:rFonts w:ascii="Arial" w:hAnsi="Arial"/>
          <w:b w:val="1"/>
          <w:bCs w:val="1"/>
          <w:outline w:val="0"/>
          <w:color w:val="000000"/>
          <w:u w:color="000000"/>
          <w:rtl w:val="0"/>
          <w:lang w:val="en-US"/>
          <w14:textFill>
            <w14:solidFill>
              <w14:srgbClr w14:val="000000"/>
            </w14:solidFill>
          </w14:textFill>
        </w:rPr>
        <w:t>Impact</w:t>
      </w:r>
    </w:p>
    <w:p>
      <w:pPr>
        <w:pStyle w:val="Body"/>
        <w:spacing w:after="0" w:line="240" w:lineRule="auto"/>
        <w:rPr>
          <w:rStyle w:val="None"/>
          <w:rFonts w:ascii="Arial" w:cs="Arial" w:hAnsi="Arial" w:eastAsia="Arial"/>
          <w:outline w:val="0"/>
          <w:color w:val="000000"/>
          <w:u w:color="000000"/>
          <w14:textFill>
            <w14:solidFill>
              <w14:srgbClr w14:val="000000"/>
            </w14:solidFill>
          </w14:textFill>
        </w:rPr>
      </w:pPr>
      <w:r>
        <w:rPr>
          <w:rStyle w:val="None"/>
          <w:rFonts w:ascii="Arial" w:hAnsi="Arial"/>
          <w:outline w:val="0"/>
          <w:color w:val="000000"/>
          <w:u w:color="000000"/>
          <w:rtl w:val="0"/>
          <w:lang w:val="en-US"/>
          <w14:textFill>
            <w14:solidFill>
              <w14:srgbClr w14:val="000000"/>
            </w14:solidFill>
          </w14:textFill>
        </w:rPr>
        <w:t>One notable success involved a self-referred resident struggling with energy debt. Through Lemon-Aid:</w:t>
      </w:r>
    </w:p>
    <w:p>
      <w:pPr>
        <w:pStyle w:val="Body"/>
        <w:numPr>
          <w:ilvl w:val="0"/>
          <w:numId w:val="38"/>
        </w:numPr>
        <w:bidi w:val="0"/>
        <w:spacing w:after="0" w:line="240" w:lineRule="auto"/>
        <w:ind w:right="0"/>
        <w:jc w:val="left"/>
        <w:rPr>
          <w:rFonts w:ascii="Arial" w:hAnsi="Arial"/>
          <w:rtl w:val="0"/>
          <w:lang w:val="en-US"/>
        </w:rPr>
      </w:pPr>
      <w:r>
        <w:rPr>
          <w:rStyle w:val="None"/>
          <w:rFonts w:ascii="Arial" w:hAnsi="Arial"/>
          <w:outline w:val="0"/>
          <w:color w:val="000000"/>
          <w:u w:color="000000"/>
          <w:rtl w:val="0"/>
          <w:lang w:val="en-US"/>
          <w14:textFill>
            <w14:solidFill>
              <w14:srgbClr w14:val="000000"/>
            </w14:solidFill>
          </w14:textFill>
        </w:rPr>
        <w:t>A home visit was arranged to assess her situation.</w:t>
      </w:r>
    </w:p>
    <w:p>
      <w:pPr>
        <w:pStyle w:val="Body"/>
        <w:numPr>
          <w:ilvl w:val="0"/>
          <w:numId w:val="38"/>
        </w:numPr>
        <w:bidi w:val="0"/>
        <w:spacing w:after="0" w:line="240" w:lineRule="auto"/>
        <w:ind w:right="0"/>
        <w:jc w:val="left"/>
        <w:rPr>
          <w:rFonts w:ascii="Arial" w:hAnsi="Arial"/>
          <w:rtl w:val="0"/>
          <w:lang w:val="en-US"/>
        </w:rPr>
      </w:pPr>
      <w:r>
        <w:rPr>
          <w:rStyle w:val="None"/>
          <w:rFonts w:ascii="Arial" w:hAnsi="Arial"/>
          <w:outline w:val="0"/>
          <w:color w:val="000000"/>
          <w:u w:color="000000"/>
          <w:rtl w:val="0"/>
          <w:lang w:val="en-US"/>
          <w14:textFill>
            <w14:solidFill>
              <w14:srgbClr w14:val="000000"/>
            </w14:solidFill>
          </w14:textFill>
        </w:rPr>
        <w:t>Accurate meter readings were submitted to her energy supplier.</w:t>
      </w:r>
    </w:p>
    <w:p>
      <w:pPr>
        <w:pStyle w:val="Body"/>
        <w:numPr>
          <w:ilvl w:val="0"/>
          <w:numId w:val="38"/>
        </w:numPr>
        <w:bidi w:val="0"/>
        <w:spacing w:after="0" w:line="240" w:lineRule="auto"/>
        <w:ind w:right="0"/>
        <w:jc w:val="left"/>
        <w:rPr>
          <w:rFonts w:ascii="Arial" w:hAnsi="Arial"/>
          <w:rtl w:val="0"/>
          <w:lang w:val="en-US"/>
        </w:rPr>
      </w:pPr>
      <w:r>
        <w:rPr>
          <w:rStyle w:val="None"/>
          <w:rFonts w:ascii="Arial" w:hAnsi="Arial"/>
          <w:outline w:val="0"/>
          <w:color w:val="000000"/>
          <w:u w:color="000000"/>
          <w:rtl w:val="0"/>
          <w:lang w:val="en-US"/>
          <w14:textFill>
            <w14:solidFill>
              <w14:srgbClr w14:val="000000"/>
            </w14:solidFill>
          </w14:textFill>
        </w:rPr>
        <w:t>Applications for support resulted in</w:t>
      </w:r>
      <w:r>
        <w:rPr>
          <w:rStyle w:val="None"/>
          <w:rFonts w:ascii="Arial" w:hAnsi="Arial" w:hint="default"/>
          <w:outline w:val="0"/>
          <w:color w:val="000000"/>
          <w:u w:color="000000"/>
          <w:rtl w:val="0"/>
          <w:lang w:val="en-US"/>
          <w14:textFill>
            <w14:solidFill>
              <w14:srgbClr w14:val="000000"/>
            </w14:solidFill>
          </w14:textFill>
        </w:rPr>
        <w:t> £</w:t>
      </w:r>
      <w:r>
        <w:rPr>
          <w:rStyle w:val="None"/>
          <w:rFonts w:ascii="Arial" w:hAnsi="Arial"/>
          <w:outline w:val="0"/>
          <w:color w:val="000000"/>
          <w:u w:color="000000"/>
          <w:rtl w:val="0"/>
          <w:lang w:val="en-US"/>
          <w14:textFill>
            <w14:solidFill>
              <w14:srgbClr w14:val="000000"/>
            </w14:solidFill>
          </w14:textFill>
        </w:rPr>
        <w:t>3,500 in grants, clearing her debt and leaving her account in credit.</w:t>
      </w:r>
    </w:p>
    <w:p>
      <w:pPr>
        <w:pStyle w:val="Body"/>
        <w:numPr>
          <w:ilvl w:val="0"/>
          <w:numId w:val="38"/>
        </w:numPr>
        <w:bidi w:val="0"/>
        <w:spacing w:after="0" w:line="240" w:lineRule="auto"/>
        <w:ind w:right="0"/>
        <w:jc w:val="left"/>
        <w:rPr>
          <w:rFonts w:ascii="Arial" w:hAnsi="Arial"/>
          <w:rtl w:val="0"/>
          <w:lang w:val="en-US"/>
        </w:rPr>
      </w:pPr>
      <w:r>
        <w:rPr>
          <w:rStyle w:val="None"/>
          <w:rFonts w:ascii="Arial" w:hAnsi="Arial"/>
          <w:outline w:val="0"/>
          <w:color w:val="000000"/>
          <w:u w:color="000000"/>
          <w:rtl w:val="0"/>
          <w:lang w:val="en-US"/>
          <w14:textFill>
            <w14:solidFill>
              <w14:srgbClr w14:val="000000"/>
            </w14:solidFill>
          </w14:textFill>
        </w:rPr>
        <w:t>The resident reported improved mental and physical health, reduced anxiety, and better understanding of her energy usage.</w:t>
      </w:r>
    </w:p>
    <w:p>
      <w:pPr>
        <w:pStyle w:val="Body"/>
        <w:spacing w:after="0" w:line="240" w:lineRule="auto"/>
        <w:rPr>
          <w:rStyle w:val="None"/>
          <w:rFonts w:ascii="Arial" w:cs="Arial" w:hAnsi="Arial" w:eastAsia="Arial"/>
          <w:b w:val="1"/>
          <w:bCs w:val="1"/>
          <w:outline w:val="0"/>
          <w:color w:val="000000"/>
          <w:u w:color="000000"/>
          <w14:textFill>
            <w14:solidFill>
              <w14:srgbClr w14:val="000000"/>
            </w14:solidFill>
          </w14:textFill>
        </w:rPr>
      </w:pPr>
    </w:p>
    <w:p>
      <w:pPr>
        <w:pStyle w:val="Body"/>
        <w:spacing w:after="0" w:line="240" w:lineRule="auto"/>
        <w:rPr>
          <w:rStyle w:val="None"/>
          <w:rFonts w:ascii="Arial" w:cs="Arial" w:hAnsi="Arial" w:eastAsia="Arial"/>
          <w:b w:val="1"/>
          <w:bCs w:val="1"/>
          <w:outline w:val="0"/>
          <w:color w:val="000000"/>
          <w:u w:color="000000"/>
          <w14:textFill>
            <w14:solidFill>
              <w14:srgbClr w14:val="000000"/>
            </w14:solidFill>
          </w14:textFill>
        </w:rPr>
      </w:pPr>
      <w:r>
        <w:rPr>
          <w:rStyle w:val="None"/>
          <w:rFonts w:ascii="Arial" w:hAnsi="Arial"/>
          <w:b w:val="1"/>
          <w:bCs w:val="1"/>
          <w:outline w:val="0"/>
          <w:color w:val="000000"/>
          <w:u w:color="000000"/>
          <w:rtl w:val="0"/>
          <w:lang w:val="en-US"/>
          <w14:textFill>
            <w14:solidFill>
              <w14:srgbClr w14:val="000000"/>
            </w14:solidFill>
          </w14:textFill>
        </w:rPr>
        <w:t>Outcome</w:t>
      </w:r>
    </w:p>
    <w:p>
      <w:pPr>
        <w:pStyle w:val="Body"/>
        <w:spacing w:after="0" w:line="240" w:lineRule="auto"/>
        <w:rPr>
          <w:rStyle w:val="None"/>
          <w:rFonts w:ascii="Arial" w:cs="Arial" w:hAnsi="Arial" w:eastAsia="Arial"/>
          <w:outline w:val="0"/>
          <w:color w:val="000000"/>
          <w:u w:color="000000"/>
          <w14:textFill>
            <w14:solidFill>
              <w14:srgbClr w14:val="000000"/>
            </w14:solidFill>
          </w14:textFill>
        </w:rPr>
      </w:pPr>
      <w:r>
        <w:rPr>
          <w:rStyle w:val="None"/>
          <w:rFonts w:ascii="Arial" w:hAnsi="Arial"/>
          <w:outline w:val="0"/>
          <w:color w:val="000000"/>
          <w:u w:color="000000"/>
          <w:rtl w:val="0"/>
          <w:lang w:val="en-US"/>
          <w14:textFill>
            <w14:solidFill>
              <w14:srgbClr w14:val="000000"/>
            </w14:solidFill>
          </w14:textFill>
        </w:rPr>
        <w:t>This project directly supports</w:t>
      </w:r>
      <w:r>
        <w:rPr>
          <w:rStyle w:val="None"/>
          <w:rFonts w:ascii="Arial" w:hAnsi="Arial" w:hint="default"/>
          <w:outline w:val="0"/>
          <w:color w:val="000000"/>
          <w:u w:color="000000"/>
          <w:rtl w:val="0"/>
          <w:lang w:val="en-US"/>
          <w14:textFill>
            <w14:solidFill>
              <w14:srgbClr w14:val="000000"/>
            </w14:solidFill>
          </w14:textFill>
        </w:rPr>
        <w:t> </w:t>
      </w:r>
      <w:r>
        <w:rPr>
          <w:rStyle w:val="None"/>
          <w:rFonts w:ascii="Arial" w:hAnsi="Arial"/>
          <w:outline w:val="0"/>
          <w:color w:val="000000"/>
          <w:u w:color="000000"/>
          <w:rtl w:val="0"/>
          <w:lang w:val="en-US"/>
          <w14:textFill>
            <w14:solidFill>
              <w14:srgbClr w14:val="000000"/>
            </w14:solidFill>
          </w14:textFill>
        </w:rPr>
        <w:t>LOIP Outcome 1: Help mitigate the impacts of the Cost of Living for those who are affected most, by addressing fuel poverty and improving wellbeing for vulnerable residents.</w:t>
      </w:r>
    </w:p>
    <w:tbl>
      <w:tblPr>
        <w:tblW w:w="1394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1d7"/>
        <w:tblLayout w:type="fixed"/>
      </w:tblPr>
      <w:tblGrid>
        <w:gridCol w:w="3487"/>
        <w:gridCol w:w="3487"/>
        <w:gridCol w:w="3487"/>
        <w:gridCol w:w="3487"/>
      </w:tblGrid>
      <w:tr>
        <w:tblPrEx>
          <w:shd w:val="clear" w:color="auto" w:fill="cad1d7"/>
        </w:tblPrEx>
        <w:trPr>
          <w:trHeight w:val="4804" w:hRule="atLeast"/>
        </w:trPr>
        <w:tc>
          <w:tcPr>
            <w:tcW w:type="dxa" w:w="34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rFonts w:ascii="Arial" w:cs="Arial" w:hAnsi="Arial" w:eastAsia="Arial"/>
                <w:shd w:val="nil" w:color="auto" w:fill="auto"/>
              </w:rPr>
              <w:drawing xmlns:a="http://schemas.openxmlformats.org/drawingml/2006/main">
                <wp:inline distT="0" distB="0" distL="0" distR="0">
                  <wp:extent cx="1816194" cy="2705239"/>
                  <wp:effectExtent l="0" t="0" r="0" b="0"/>
                  <wp:docPr id="1073741834" name="officeArt object" descr="Picture 1"/>
                  <wp:cNvGraphicFramePr/>
                  <a:graphic xmlns:a="http://schemas.openxmlformats.org/drawingml/2006/main">
                    <a:graphicData uri="http://schemas.openxmlformats.org/drawingml/2006/picture">
                      <pic:pic xmlns:pic="http://schemas.openxmlformats.org/drawingml/2006/picture">
                        <pic:nvPicPr>
                          <pic:cNvPr id="1073741834" name="Picture 1" descr="Picture 1"/>
                          <pic:cNvPicPr>
                            <a:picLocks noChangeAspect="1"/>
                          </pic:cNvPicPr>
                        </pic:nvPicPr>
                        <pic:blipFill>
                          <a:blip r:embed="rId7">
                            <a:extLst/>
                          </a:blip>
                          <a:stretch>
                            <a:fillRect/>
                          </a:stretch>
                        </pic:blipFill>
                        <pic:spPr>
                          <a:xfrm>
                            <a:off x="0" y="0"/>
                            <a:ext cx="1816194" cy="2705239"/>
                          </a:xfrm>
                          <a:prstGeom prst="rect">
                            <a:avLst/>
                          </a:prstGeom>
                          <a:ln w="12700" cap="flat">
                            <a:noFill/>
                            <a:miter lim="400000"/>
                          </a:ln>
                          <a:effectLst/>
                        </pic:spPr>
                      </pic:pic>
                    </a:graphicData>
                  </a:graphic>
                </wp:inline>
              </w:drawing>
            </w:r>
            <w:r>
              <w:rPr>
                <w:rStyle w:val="None"/>
                <w:rFonts w:ascii="Arial" w:cs="Arial" w:hAnsi="Arial" w:eastAsia="Arial"/>
                <w:shd w:val="nil" w:color="auto" w:fill="auto"/>
              </w:rPr>
            </w:r>
          </w:p>
        </w:tc>
        <w:tc>
          <w:tcPr>
            <w:tcW w:type="dxa" w:w="34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rFonts w:ascii="Arial" w:cs="Arial" w:hAnsi="Arial" w:eastAsia="Arial"/>
                <w:shd w:val="nil" w:color="auto" w:fill="auto"/>
              </w:rPr>
              <w:drawing xmlns:a="http://schemas.openxmlformats.org/drawingml/2006/main">
                <wp:inline distT="0" distB="0" distL="0" distR="0">
                  <wp:extent cx="1873346" cy="2571882"/>
                  <wp:effectExtent l="0" t="0" r="0" b="0"/>
                  <wp:docPr id="1073741835" name="officeArt object" descr="Picture 1"/>
                  <wp:cNvGraphicFramePr/>
                  <a:graphic xmlns:a="http://schemas.openxmlformats.org/drawingml/2006/main">
                    <a:graphicData uri="http://schemas.openxmlformats.org/drawingml/2006/picture">
                      <pic:pic xmlns:pic="http://schemas.openxmlformats.org/drawingml/2006/picture">
                        <pic:nvPicPr>
                          <pic:cNvPr id="1073741835" name="Picture 1" descr="Picture 1"/>
                          <pic:cNvPicPr>
                            <a:picLocks noChangeAspect="1"/>
                          </pic:cNvPicPr>
                        </pic:nvPicPr>
                        <pic:blipFill>
                          <a:blip r:embed="rId8">
                            <a:extLst/>
                          </a:blip>
                          <a:stretch>
                            <a:fillRect/>
                          </a:stretch>
                        </pic:blipFill>
                        <pic:spPr>
                          <a:xfrm>
                            <a:off x="0" y="0"/>
                            <a:ext cx="1873346" cy="2571882"/>
                          </a:xfrm>
                          <a:prstGeom prst="rect">
                            <a:avLst/>
                          </a:prstGeom>
                          <a:ln w="12700" cap="flat">
                            <a:noFill/>
                            <a:miter lim="400000"/>
                          </a:ln>
                          <a:effectLst/>
                        </pic:spPr>
                      </pic:pic>
                    </a:graphicData>
                  </a:graphic>
                </wp:inline>
              </w:drawing>
            </w:r>
          </w:p>
        </w:tc>
        <w:tc>
          <w:tcPr>
            <w:tcW w:type="dxa" w:w="34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rFonts w:ascii="Arial" w:cs="Arial" w:hAnsi="Arial" w:eastAsia="Arial"/>
                <w:shd w:val="nil" w:color="auto" w:fill="auto"/>
              </w:rPr>
              <w:drawing xmlns:a="http://schemas.openxmlformats.org/drawingml/2006/main">
                <wp:inline distT="0" distB="0" distL="0" distR="0">
                  <wp:extent cx="1625684" cy="2406775"/>
                  <wp:effectExtent l="0" t="0" r="0" b="0"/>
                  <wp:docPr id="1073741836" name="officeArt object" descr="Picture 1"/>
                  <wp:cNvGraphicFramePr/>
                  <a:graphic xmlns:a="http://schemas.openxmlformats.org/drawingml/2006/main">
                    <a:graphicData uri="http://schemas.openxmlformats.org/drawingml/2006/picture">
                      <pic:pic xmlns:pic="http://schemas.openxmlformats.org/drawingml/2006/picture">
                        <pic:nvPicPr>
                          <pic:cNvPr id="1073741836" name="Picture 1" descr="Picture 1"/>
                          <pic:cNvPicPr>
                            <a:picLocks noChangeAspect="1"/>
                          </pic:cNvPicPr>
                        </pic:nvPicPr>
                        <pic:blipFill>
                          <a:blip r:embed="rId9">
                            <a:extLst/>
                          </a:blip>
                          <a:stretch>
                            <a:fillRect/>
                          </a:stretch>
                        </pic:blipFill>
                        <pic:spPr>
                          <a:xfrm>
                            <a:off x="0" y="0"/>
                            <a:ext cx="1625684" cy="2406775"/>
                          </a:xfrm>
                          <a:prstGeom prst="rect">
                            <a:avLst/>
                          </a:prstGeom>
                          <a:ln w="12700" cap="flat">
                            <a:noFill/>
                            <a:miter lim="400000"/>
                          </a:ln>
                          <a:effectLst/>
                        </pic:spPr>
                      </pic:pic>
                    </a:graphicData>
                  </a:graphic>
                </wp:inline>
              </w:drawing>
            </w:r>
          </w:p>
        </w:tc>
        <w:tc>
          <w:tcPr>
            <w:tcW w:type="dxa" w:w="34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rFonts w:ascii="Arial" w:cs="Arial" w:hAnsi="Arial" w:eastAsia="Arial"/>
                <w:shd w:val="nil" w:color="auto" w:fill="auto"/>
              </w:rPr>
              <w:drawing xmlns:a="http://schemas.openxmlformats.org/drawingml/2006/main">
                <wp:inline distT="0" distB="0" distL="0" distR="0">
                  <wp:extent cx="1720938" cy="2444876"/>
                  <wp:effectExtent l="0" t="0" r="0" b="0"/>
                  <wp:docPr id="1073741837" name="officeArt object" descr="Picture 1"/>
                  <wp:cNvGraphicFramePr/>
                  <a:graphic xmlns:a="http://schemas.openxmlformats.org/drawingml/2006/main">
                    <a:graphicData uri="http://schemas.openxmlformats.org/drawingml/2006/picture">
                      <pic:pic xmlns:pic="http://schemas.openxmlformats.org/drawingml/2006/picture">
                        <pic:nvPicPr>
                          <pic:cNvPr id="1073741837" name="Picture 1" descr="Picture 1"/>
                          <pic:cNvPicPr>
                            <a:picLocks noChangeAspect="1"/>
                          </pic:cNvPicPr>
                        </pic:nvPicPr>
                        <pic:blipFill>
                          <a:blip r:embed="rId10">
                            <a:extLst/>
                          </a:blip>
                          <a:stretch>
                            <a:fillRect/>
                          </a:stretch>
                        </pic:blipFill>
                        <pic:spPr>
                          <a:xfrm>
                            <a:off x="0" y="0"/>
                            <a:ext cx="1720938" cy="2444876"/>
                          </a:xfrm>
                          <a:prstGeom prst="rect">
                            <a:avLst/>
                          </a:prstGeom>
                          <a:ln w="12700" cap="flat">
                            <a:noFill/>
                            <a:miter lim="400000"/>
                          </a:ln>
                          <a:effectLst/>
                        </pic:spPr>
                      </pic:pic>
                    </a:graphicData>
                  </a:graphic>
                </wp:inline>
              </w:drawing>
            </w:r>
          </w:p>
        </w:tc>
      </w:tr>
    </w:tbl>
    <w:p>
      <w:pPr>
        <w:pStyle w:val="Body"/>
        <w:widowControl w:val="0"/>
        <w:spacing w:after="0" w:line="240" w:lineRule="auto"/>
        <w:rPr>
          <w:rStyle w:val="None"/>
          <w:rFonts w:ascii="Arial" w:cs="Arial" w:hAnsi="Arial" w:eastAsia="Arial"/>
          <w:outline w:val="0"/>
          <w:color w:val="000000"/>
          <w:u w:color="000000"/>
          <w14:textFill>
            <w14:solidFill>
              <w14:srgbClr w14:val="000000"/>
            </w14:solidFill>
          </w14:textFill>
        </w:rPr>
      </w:pPr>
    </w:p>
    <w:p>
      <w:pPr>
        <w:pStyle w:val="Body"/>
        <w:rPr>
          <w:rStyle w:val="None"/>
          <w:rFonts w:ascii="Arial" w:cs="Arial" w:hAnsi="Arial" w:eastAsia="Arial"/>
          <w:b w:val="1"/>
          <w:bCs w:val="1"/>
        </w:rPr>
      </w:pPr>
    </w:p>
    <w:p>
      <w:pPr>
        <w:pStyle w:val="Body"/>
        <w:rPr>
          <w:rStyle w:val="None"/>
          <w:rFonts w:ascii="Arial" w:cs="Arial" w:hAnsi="Arial" w:eastAsia="Arial"/>
          <w:b w:val="1"/>
          <w:bCs w:val="1"/>
        </w:rPr>
      </w:pPr>
      <w:r>
        <w:rPr>
          <w:rStyle w:val="None"/>
          <w:rFonts w:ascii="Arial" w:hAnsi="Arial"/>
          <w:b w:val="1"/>
          <w:bCs w:val="1"/>
          <w:rtl w:val="0"/>
          <w:lang w:val="de-DE"/>
        </w:rPr>
        <w:t>THEME - WORK</w:t>
      </w:r>
    </w:p>
    <w:p>
      <w:pPr>
        <w:pStyle w:val="Body"/>
        <w:rPr>
          <w:rStyle w:val="None"/>
          <w:rFonts w:ascii="Arial" w:cs="Arial" w:hAnsi="Arial" w:eastAsia="Arial"/>
          <w:u w:val="single"/>
          <w:shd w:val="clear" w:color="auto" w:fill="ffff00"/>
        </w:rPr>
      </w:pPr>
      <w:r>
        <w:rPr>
          <w:rStyle w:val="None"/>
          <w:rFonts w:ascii="Arial" w:cs="Arial" w:hAnsi="Arial" w:eastAsia="Arial"/>
          <w:u w:val="single"/>
        </w:rPr>
        <mc:AlternateContent>
          <mc:Choice Requires="wpg">
            <w:drawing xmlns:a="http://schemas.openxmlformats.org/drawingml/2006/main">
              <wp:anchor distT="0" distB="0" distL="0" distR="0" simplePos="0" relativeHeight="251661312" behindDoc="0" locked="0" layoutInCell="1" allowOverlap="1">
                <wp:simplePos x="0" y="0"/>
                <wp:positionH relativeFrom="column">
                  <wp:posOffset>63500</wp:posOffset>
                </wp:positionH>
                <wp:positionV relativeFrom="line">
                  <wp:posOffset>152400</wp:posOffset>
                </wp:positionV>
                <wp:extent cx="9164472" cy="5073650"/>
                <wp:effectExtent l="0" t="0" r="0" b="0"/>
                <wp:wrapNone/>
                <wp:docPr id="1073741840" name="officeArt object" descr="Rectangle: Rounded Corners 8"/>
                <wp:cNvGraphicFramePr/>
                <a:graphic xmlns:a="http://schemas.openxmlformats.org/drawingml/2006/main">
                  <a:graphicData uri="http://schemas.microsoft.com/office/word/2010/wordprocessingGroup">
                    <wpg:wgp>
                      <wpg:cNvGrpSpPr/>
                      <wpg:grpSpPr>
                        <a:xfrm>
                          <a:off x="0" y="0"/>
                          <a:ext cx="9164472" cy="5073650"/>
                          <a:chOff x="0" y="0"/>
                          <a:chExt cx="9164471" cy="5073650"/>
                        </a:xfrm>
                      </wpg:grpSpPr>
                      <wps:wsp>
                        <wps:cNvPr id="1073741838" name="Rounded Rectangle"/>
                        <wps:cNvSpPr/>
                        <wps:spPr>
                          <a:xfrm>
                            <a:off x="0" y="0"/>
                            <a:ext cx="9164472" cy="5073650"/>
                          </a:xfrm>
                          <a:prstGeom prst="roundRect">
                            <a:avLst>
                              <a:gd name="adj" fmla="val 16667"/>
                            </a:avLst>
                          </a:prstGeom>
                          <a:solidFill>
                            <a:srgbClr val="DCEAF7"/>
                          </a:solidFill>
                          <a:ln w="12700" cap="flat">
                            <a:solidFill>
                              <a:srgbClr val="092937"/>
                            </a:solidFill>
                            <a:prstDash val="solid"/>
                            <a:miter lim="800000"/>
                          </a:ln>
                          <a:effectLst/>
                        </wps:spPr>
                        <wps:bodyPr/>
                      </wps:wsp>
                      <wps:wsp>
                        <wps:cNvPr id="1073741839" name="Summary…"/>
                        <wps:cNvSpPr txBox="1"/>
                        <wps:spPr>
                          <a:xfrm>
                            <a:off x="299745" y="254024"/>
                            <a:ext cx="8564982" cy="4565602"/>
                          </a:xfrm>
                          <a:prstGeom prst="rect">
                            <a:avLst/>
                          </a:prstGeom>
                          <a:noFill/>
                          <a:ln w="12700" cap="flat">
                            <a:noFill/>
                            <a:miter lim="400000"/>
                          </a:ln>
                          <a:effectLst/>
                        </wps:spPr>
                        <wps:txbx>
                          <w:txbxContent>
                            <w:p>
                              <w:pPr>
                                <w:pStyle w:val="Body"/>
                                <w:rPr>
                                  <w:rStyle w:val="None"/>
                                  <w:rFonts w:ascii="Arial" w:cs="Arial" w:hAnsi="Arial" w:eastAsia="Arial"/>
                                  <w:outline w:val="0"/>
                                  <w:color w:val="000000"/>
                                  <w:u w:val="single" w:color="000000"/>
                                  <w14:textFill>
                                    <w14:solidFill>
                                      <w14:srgbClr w14:val="000000"/>
                                    </w14:solidFill>
                                  </w14:textFill>
                                </w:rPr>
                              </w:pPr>
                              <w:r>
                                <w:rPr>
                                  <w:rStyle w:val="None"/>
                                  <w:rFonts w:ascii="Arial" w:hAnsi="Arial"/>
                                  <w:outline w:val="0"/>
                                  <w:color w:val="000000"/>
                                  <w:u w:val="single" w:color="000000"/>
                                  <w:rtl w:val="0"/>
                                  <w:lang w:val="en-US"/>
                                  <w14:textFill>
                                    <w14:solidFill>
                                      <w14:srgbClr w14:val="000000"/>
                                    </w14:solidFill>
                                  </w14:textFill>
                                </w:rPr>
                                <w:t>Summary</w:t>
                              </w:r>
                            </w:p>
                            <w:p>
                              <w:pPr>
                                <w:pStyle w:val="Body"/>
                                <w:spacing w:line="276" w:lineRule="auto"/>
                                <w:rPr>
                                  <w:rStyle w:val="None"/>
                                  <w:rFonts w:ascii="Arial" w:cs="Arial" w:hAnsi="Arial" w:eastAsia="Arial"/>
                                  <w:b w:val="1"/>
                                  <w:bCs w:val="1"/>
                                  <w:outline w:val="0"/>
                                  <w:color w:val="000000"/>
                                  <w:u w:color="000000"/>
                                  <w14:textFill>
                                    <w14:solidFill>
                                      <w14:srgbClr w14:val="000000"/>
                                    </w14:solidFill>
                                  </w14:textFill>
                                </w:rPr>
                              </w:pPr>
                              <w:r>
                                <w:rPr>
                                  <w:rStyle w:val="None"/>
                                  <w:rFonts w:ascii="Arial" w:hAnsi="Arial"/>
                                  <w:b w:val="1"/>
                                  <w:bCs w:val="1"/>
                                  <w:outline w:val="0"/>
                                  <w:color w:val="000000"/>
                                  <w:u w:color="000000"/>
                                  <w:rtl w:val="0"/>
                                  <w:lang w:val="en-US"/>
                                  <w14:textFill>
                                    <w14:solidFill>
                                      <w14:srgbClr w14:val="000000"/>
                                    </w14:solidFill>
                                  </w14:textFill>
                                </w:rPr>
                                <w:t>Employment and Economic Participation Overview</w:t>
                              </w:r>
                            </w:p>
                            <w:p>
                              <w:pPr>
                                <w:pStyle w:val="Body"/>
                                <w:spacing w:after="120" w:line="276" w:lineRule="auto"/>
                                <w:rPr>
                                  <w:rStyle w:val="None"/>
                                  <w:rFonts w:ascii="Arial" w:cs="Arial" w:hAnsi="Arial" w:eastAsia="Arial"/>
                                  <w:outline w:val="0"/>
                                  <w:color w:val="000000"/>
                                  <w:u w:color="000000"/>
                                  <w14:textFill>
                                    <w14:solidFill>
                                      <w14:srgbClr w14:val="000000"/>
                                    </w14:solidFill>
                                  </w14:textFill>
                                </w:rPr>
                              </w:pPr>
                              <w:r>
                                <w:rPr>
                                  <w:rStyle w:val="None"/>
                                  <w:rFonts w:ascii="Arial" w:hAnsi="Arial"/>
                                  <w:outline w:val="0"/>
                                  <w:color w:val="000000"/>
                                  <w:u w:color="000000"/>
                                  <w:rtl w:val="0"/>
                                  <w:lang w:val="en-US"/>
                                  <w14:textFill>
                                    <w14:solidFill>
                                      <w14:srgbClr w14:val="000000"/>
                                    </w14:solidFill>
                                  </w14:textFill>
                                </w:rPr>
                                <w:t>The participation rate measures the proportion of 16</w:t>
                              </w:r>
                              <w:r>
                                <w:rPr>
                                  <w:rStyle w:val="None"/>
                                  <w:rFonts w:ascii="Arial" w:hAnsi="Arial" w:hint="default"/>
                                  <w:outline w:val="0"/>
                                  <w:color w:val="000000"/>
                                  <w:u w:color="000000"/>
                                  <w:rtl w:val="0"/>
                                  <w:lang w:val="en-US"/>
                                  <w14:textFill>
                                    <w14:solidFill>
                                      <w14:srgbClr w14:val="000000"/>
                                    </w14:solidFill>
                                  </w14:textFill>
                                </w:rPr>
                                <w:t>–</w:t>
                              </w:r>
                              <w:r>
                                <w:rPr>
                                  <w:rStyle w:val="None"/>
                                  <w:rFonts w:ascii="Arial" w:hAnsi="Arial"/>
                                  <w:outline w:val="0"/>
                                  <w:color w:val="000000"/>
                                  <w:u w:color="000000"/>
                                  <w:rtl w:val="0"/>
                                  <w:lang w:val="en-US"/>
                                  <w14:textFill>
                                    <w14:solidFill>
                                      <w14:srgbClr w14:val="000000"/>
                                    </w14:solidFill>
                                  </w14:textFill>
                                </w:rPr>
                                <w:t>19-year-olds entering employment, education, or training after leaving school.  In 2024</w:t>
                              </w:r>
                              <w:r>
                                <w:rPr>
                                  <w:rStyle w:val="None"/>
                                  <w:rFonts w:ascii="Arial" w:hAnsi="Arial" w:hint="default"/>
                                  <w:outline w:val="0"/>
                                  <w:color w:val="000000"/>
                                  <w:u w:color="000000"/>
                                  <w:rtl w:val="0"/>
                                  <w:lang w:val="en-US"/>
                                  <w14:textFill>
                                    <w14:solidFill>
                                      <w14:srgbClr w14:val="000000"/>
                                    </w14:solidFill>
                                  </w14:textFill>
                                </w:rPr>
                                <w:t>—</w:t>
                              </w:r>
                              <w:r>
                                <w:rPr>
                                  <w:rStyle w:val="None"/>
                                  <w:rFonts w:ascii="Arial" w:hAnsi="Arial"/>
                                  <w:outline w:val="0"/>
                                  <w:color w:val="000000"/>
                                  <w:u w:color="000000"/>
                                  <w:rtl w:val="0"/>
                                  <w:lang w:val="en-US"/>
                                  <w14:textFill>
                                    <w14:solidFill>
                                      <w14:srgbClr w14:val="000000"/>
                                    </w14:solidFill>
                                  </w14:textFill>
                                </w:rPr>
                                <w:t>94.4% of those aged 16-19 in Dumfries and Galloway were in positive destinations which is above Scotland at 92.7% and the highest rate on record since 2016, reflecting strong progress in youth engagement.</w:t>
                              </w:r>
                            </w:p>
                            <w:p>
                              <w:pPr>
                                <w:pStyle w:val="Body"/>
                                <w:spacing w:after="120" w:line="276" w:lineRule="auto"/>
                                <w:rPr>
                                  <w:rStyle w:val="None"/>
                                  <w:rFonts w:ascii="Arial" w:cs="Arial" w:hAnsi="Arial" w:eastAsia="Arial"/>
                                  <w:outline w:val="0"/>
                                  <w:color w:val="000000"/>
                                  <w:u w:color="000000"/>
                                  <w14:textFill>
                                    <w14:solidFill>
                                      <w14:srgbClr w14:val="000000"/>
                                    </w14:solidFill>
                                  </w14:textFill>
                                </w:rPr>
                              </w:pPr>
                              <w:r>
                                <w:rPr>
                                  <w:rStyle w:val="None"/>
                                  <w:rFonts w:ascii="Arial" w:hAnsi="Arial"/>
                                  <w:outline w:val="0"/>
                                  <w:color w:val="000000"/>
                                  <w:u w:color="000000"/>
                                  <w:rtl w:val="0"/>
                                  <w:lang w:val="en-US"/>
                                  <w14:textFill>
                                    <w14:solidFill>
                                      <w14:srgbClr w14:val="000000"/>
                                    </w14:solidFill>
                                  </w14:textFill>
                                </w:rPr>
                                <w:t>Job Market Activity: Job advertisements surged by 23.7% year-on-year and were 83.1% above 2019 monthly averages</w:t>
                              </w:r>
                              <w:r>
                                <w:rPr>
                                  <w:rStyle w:val="None"/>
                                  <w:rFonts w:ascii="Arial" w:hAnsi="Arial" w:hint="default"/>
                                  <w:outline w:val="0"/>
                                  <w:color w:val="000000"/>
                                  <w:u w:color="000000"/>
                                  <w:rtl w:val="0"/>
                                  <w:lang w:val="en-US"/>
                                  <w14:textFill>
                                    <w14:solidFill>
                                      <w14:srgbClr w14:val="000000"/>
                                    </w14:solidFill>
                                  </w14:textFill>
                                </w:rPr>
                                <w:t>—</w:t>
                              </w:r>
                              <w:r>
                                <w:rPr>
                                  <w:rStyle w:val="None"/>
                                  <w:rFonts w:ascii="Arial" w:hAnsi="Arial"/>
                                  <w:outline w:val="0"/>
                                  <w:color w:val="000000"/>
                                  <w:u w:color="000000"/>
                                  <w:rtl w:val="0"/>
                                  <w:lang w:val="en-US"/>
                                  <w14:textFill>
                                    <w14:solidFill>
                                      <w14:srgbClr w14:val="000000"/>
                                    </w14:solidFill>
                                  </w14:textFill>
                                </w:rPr>
                                <w:t>more than double Scotland</w:t>
                              </w:r>
                              <w:r>
                                <w:rPr>
                                  <w:rStyle w:val="None"/>
                                  <w:rFonts w:ascii="Arial" w:hAnsi="Arial" w:hint="default"/>
                                  <w:outline w:val="0"/>
                                  <w:color w:val="000000"/>
                                  <w:u w:color="000000"/>
                                  <w:rtl w:val="0"/>
                                  <w:lang w:val="en-US"/>
                                  <w14:textFill>
                                    <w14:solidFill>
                                      <w14:srgbClr w14:val="000000"/>
                                    </w14:solidFill>
                                  </w14:textFill>
                                </w:rPr>
                                <w:t>’</w:t>
                              </w:r>
                              <w:r>
                                <w:rPr>
                                  <w:rStyle w:val="None"/>
                                  <w:rFonts w:ascii="Arial" w:hAnsi="Arial"/>
                                  <w:outline w:val="0"/>
                                  <w:color w:val="000000"/>
                                  <w:u w:color="000000"/>
                                  <w:rtl w:val="0"/>
                                  <w:lang w:val="en-US"/>
                                  <w14:textFill>
                                    <w14:solidFill>
                                      <w14:srgbClr w14:val="000000"/>
                                    </w14:solidFill>
                                  </w14:textFill>
                                </w:rPr>
                                <w:t>s increase.</w:t>
                              </w:r>
                            </w:p>
                            <w:p>
                              <w:pPr>
                                <w:pStyle w:val="Body"/>
                                <w:spacing w:after="120" w:line="276" w:lineRule="auto"/>
                                <w:rPr>
                                  <w:rStyle w:val="None"/>
                                  <w:rFonts w:ascii="Arial" w:cs="Arial" w:hAnsi="Arial" w:eastAsia="Arial"/>
                                  <w:outline w:val="0"/>
                                  <w:color w:val="000000"/>
                                  <w:u w:color="000000"/>
                                  <w14:textFill>
                                    <w14:solidFill>
                                      <w14:srgbClr w14:val="000000"/>
                                    </w14:solidFill>
                                  </w14:textFill>
                                </w:rPr>
                              </w:pPr>
                              <w:r>
                                <w:rPr>
                                  <w:rStyle w:val="None"/>
                                  <w:rFonts w:ascii="Arial" w:hAnsi="Arial"/>
                                  <w:outline w:val="0"/>
                                  <w:color w:val="000000"/>
                                  <w:u w:color="000000"/>
                                  <w:rtl w:val="0"/>
                                  <w:lang w:val="en-US"/>
                                  <w14:textFill>
                                    <w14:solidFill>
                                      <w14:srgbClr w14:val="000000"/>
                                    </w14:solidFill>
                                  </w14:textFill>
                                </w:rPr>
                                <w:t>Employees pay increased by 2.5% in real terms in the year to January 2025, the highest increase of all Scottish areas.</w:t>
                              </w:r>
                            </w:p>
                            <w:p>
                              <w:pPr>
                                <w:pStyle w:val="Body"/>
                                <w:spacing w:after="120" w:line="276" w:lineRule="auto"/>
                                <w:rPr>
                                  <w:rStyle w:val="None"/>
                                  <w:rFonts w:ascii="Arial" w:cs="Arial" w:hAnsi="Arial" w:eastAsia="Arial"/>
                                  <w:outline w:val="0"/>
                                  <w:color w:val="000000"/>
                                  <w:u w:color="000000"/>
                                  <w14:textFill>
                                    <w14:solidFill>
                                      <w14:srgbClr w14:val="000000"/>
                                    </w14:solidFill>
                                  </w14:textFill>
                                </w:rPr>
                              </w:pPr>
                              <w:r>
                                <w:rPr>
                                  <w:rStyle w:val="None"/>
                                  <w:rFonts w:ascii="Arial" w:hAnsi="Arial"/>
                                  <w:outline w:val="0"/>
                                  <w:color w:val="000000"/>
                                  <w:u w:color="000000"/>
                                  <w:rtl w:val="0"/>
                                  <w:lang w:val="en-US"/>
                                  <w14:textFill>
                                    <w14:solidFill>
                                      <w14:srgbClr w14:val="000000"/>
                                    </w14:solidFill>
                                  </w14:textFill>
                                </w:rPr>
                                <w:t>In Dumfries and Galloway 19% of those aged 0-15 years lived in relative low-income families in 2024 - minus 1.3 percentage points from 20.3% in 2023.</w:t>
                              </w:r>
                            </w:p>
                            <w:p>
                              <w:pPr>
                                <w:pStyle w:val="Body"/>
                                <w:spacing w:after="120" w:line="276" w:lineRule="auto"/>
                                <w:rPr>
                                  <w:rStyle w:val="None"/>
                                  <w:rFonts w:ascii="Arial" w:cs="Arial" w:hAnsi="Arial" w:eastAsia="Arial"/>
                                  <w:b w:val="1"/>
                                  <w:bCs w:val="1"/>
                                  <w:outline w:val="0"/>
                                  <w:color w:val="000000"/>
                                  <w:u w:color="000000"/>
                                  <w14:textFill>
                                    <w14:solidFill>
                                      <w14:srgbClr w14:val="000000"/>
                                    </w14:solidFill>
                                  </w14:textFill>
                                </w:rPr>
                              </w:pPr>
                              <w:r>
                                <w:rPr>
                                  <w:rStyle w:val="None"/>
                                  <w:rFonts w:ascii="Arial" w:hAnsi="Arial"/>
                                  <w:b w:val="1"/>
                                  <w:bCs w:val="1"/>
                                  <w:outline w:val="0"/>
                                  <w:color w:val="000000"/>
                                  <w:u w:color="000000"/>
                                  <w:rtl w:val="0"/>
                                  <w:lang w:val="en-US"/>
                                  <w14:textFill>
                                    <w14:solidFill>
                                      <w14:srgbClr w14:val="000000"/>
                                    </w14:solidFill>
                                  </w14:textFill>
                                </w:rPr>
                                <w:t>However, several challenges remain under consideration:</w:t>
                              </w:r>
                            </w:p>
                            <w:p>
                              <w:pPr>
                                <w:pStyle w:val="List Paragraph"/>
                                <w:numPr>
                                  <w:ilvl w:val="0"/>
                                  <w:numId w:val="39"/>
                                </w:numPr>
                                <w:bidi w:val="0"/>
                                <w:spacing w:after="0" w:line="276" w:lineRule="auto"/>
                                <w:ind w:right="0"/>
                                <w:jc w:val="left"/>
                                <w:rPr>
                                  <w:rFonts w:ascii="Arial" w:hAnsi="Arial"/>
                                  <w:rtl w:val="0"/>
                                  <w:lang w:val="en-US"/>
                                </w:rPr>
                              </w:pPr>
                              <w:r>
                                <w:rPr>
                                  <w:rStyle w:val="None"/>
                                  <w:rFonts w:ascii="Arial" w:hAnsi="Arial"/>
                                  <w:outline w:val="0"/>
                                  <w:color w:val="000000"/>
                                  <w:u w:color="000000"/>
                                  <w:rtl w:val="0"/>
                                  <w:lang w:val="en-US"/>
                                  <w14:textFill>
                                    <w14:solidFill>
                                      <w14:srgbClr w14:val="000000"/>
                                    </w14:solidFill>
                                  </w14:textFill>
                                </w:rPr>
                                <w:t>The percentage of workless households has reached a five-year high, currently sitting at 24.4%, significantly above the national average of 17.4%.</w:t>
                              </w:r>
                            </w:p>
                            <w:p>
                              <w:pPr>
                                <w:pStyle w:val="List Paragraph"/>
                                <w:numPr>
                                  <w:ilvl w:val="0"/>
                                  <w:numId w:val="39"/>
                                </w:numPr>
                                <w:bidi w:val="0"/>
                                <w:spacing w:after="0" w:line="276" w:lineRule="auto"/>
                                <w:ind w:right="0"/>
                                <w:jc w:val="left"/>
                                <w:rPr>
                                  <w:rFonts w:ascii="Arial" w:hAnsi="Arial"/>
                                  <w:rtl w:val="0"/>
                                  <w:lang w:val="en-US"/>
                                </w:rPr>
                              </w:pPr>
                              <w:r>
                                <w:rPr>
                                  <w:rStyle w:val="None"/>
                                  <w:rFonts w:ascii="Arial" w:hAnsi="Arial"/>
                                  <w:outline w:val="0"/>
                                  <w:color w:val="000000"/>
                                  <w:u w:color="000000"/>
                                  <w:rtl w:val="0"/>
                                  <w:lang w:val="en-US"/>
                                  <w14:textFill>
                                    <w14:solidFill>
                                      <w14:srgbClr w14:val="000000"/>
                                    </w14:solidFill>
                                  </w14:textFill>
                                </w:rPr>
                                <w:t>While there has been some improvement in the proportion of people earning the Real Living Wage or more, the region still lags behind the national average.</w:t>
                              </w:r>
                            </w:p>
                            <w:p>
                              <w:pPr>
                                <w:pStyle w:val="List Paragraph"/>
                                <w:numPr>
                                  <w:ilvl w:val="0"/>
                                  <w:numId w:val="39"/>
                                </w:numPr>
                                <w:bidi w:val="0"/>
                                <w:spacing w:after="0" w:line="276" w:lineRule="auto"/>
                                <w:ind w:right="0"/>
                                <w:jc w:val="left"/>
                                <w:rPr>
                                  <w:rFonts w:ascii="Arial" w:hAnsi="Arial"/>
                                  <w:rtl w:val="0"/>
                                  <w:lang w:val="en-US"/>
                                </w:rPr>
                              </w:pPr>
                              <w:r>
                                <w:rPr>
                                  <w:rStyle w:val="None"/>
                                  <w:rFonts w:ascii="Arial" w:hAnsi="Arial"/>
                                  <w:outline w:val="0"/>
                                  <w:color w:val="000000"/>
                                  <w:u w:color="000000"/>
                                  <w:rtl w:val="0"/>
                                  <w:lang w:val="en-US"/>
                                  <w14:textFill>
                                    <w14:solidFill>
                                      <w14:srgbClr w14:val="000000"/>
                                    </w14:solidFill>
                                  </w14:textFill>
                                </w:rPr>
                                <w:t>The percentage of residents receiving out-of-work benefits has increased over the past two years and is now 1% higher than the national average.</w:t>
                              </w:r>
                            </w:p>
                            <w:p>
                              <w:pPr>
                                <w:pStyle w:val="List Paragraph"/>
                                <w:numPr>
                                  <w:ilvl w:val="0"/>
                                  <w:numId w:val="39"/>
                                </w:numPr>
                                <w:bidi w:val="0"/>
                                <w:spacing w:after="0" w:line="276" w:lineRule="auto"/>
                                <w:ind w:right="0"/>
                                <w:jc w:val="left"/>
                                <w:rPr>
                                  <w:rFonts w:ascii="Arial" w:hAnsi="Arial"/>
                                  <w:rtl w:val="0"/>
                                  <w:lang w:val="en-US"/>
                                </w:rPr>
                              </w:pPr>
                              <w:r>
                                <w:rPr>
                                  <w:rStyle w:val="None"/>
                                  <w:rFonts w:ascii="Arial" w:hAnsi="Arial"/>
                                  <w:outline w:val="0"/>
                                  <w:color w:val="000000"/>
                                  <w:u w:color="000000"/>
                                  <w:rtl w:val="0"/>
                                  <w:lang w:val="en-US"/>
                                  <w14:textFill>
                                    <w14:solidFill>
                                      <w14:srgbClr w14:val="000000"/>
                                    </w14:solidFill>
                                  </w14:textFill>
                                </w:rPr>
                                <w:t>Disability Employment Gap: At 42.2 percentage points, Dumfries and Galloway had the third highest gap in Scotland, significantly above the national average (30.7 p.p).</w:t>
                              </w:r>
                            </w:p>
                          </w:txbxContent>
                        </wps:txbx>
                        <wps:bodyPr wrap="square" lIns="45719" tIns="45719" rIns="45719" bIns="45719" numCol="1" anchor="ctr">
                          <a:noAutofit/>
                        </wps:bodyPr>
                      </wps:wsp>
                    </wpg:wgp>
                  </a:graphicData>
                </a:graphic>
              </wp:anchor>
            </w:drawing>
          </mc:Choice>
          <mc:Fallback>
            <w:pict>
              <v:group id="_x0000_s1030" style="visibility:visible;position:absolute;margin-left:5.0pt;margin-top:12.0pt;width:721.6pt;height:399.5pt;z-index:251661312;mso-position-horizontal:absolute;mso-position-horizontal-relative:text;mso-position-vertical:absolute;mso-position-vertical-relative:line;mso-wrap-distance-left:0.0pt;mso-wrap-distance-top:0.0pt;mso-wrap-distance-right:0.0pt;mso-wrap-distance-bottom:0.0pt;" coordorigin="0,0" coordsize="9164472,5073650">
                <w10:wrap type="none" side="bothSides" anchorx="text"/>
                <v:roundrect id="_x0000_s1031" style="position:absolute;left:0;top:0;width:9164472;height:5073650;" adj="3600">
                  <v:fill color="#DCEAF7" opacity="100.0%" type="solid"/>
                  <v:stroke filltype="solid" color="#092937" opacity="100.0%" weight="1.0pt" dashstyle="solid" endcap="flat" miterlimit="800.0%" joinstyle="miter" linestyle="single" startarrow="none" startarrowwidth="medium" startarrowlength="medium" endarrow="none" endarrowwidth="medium" endarrowlength="medium"/>
                </v:roundrect>
                <v:shape id="_x0000_s1032" type="#_x0000_t202" style="position:absolute;left:299745;top:254025;width:8564981;height:4565600;">
                  <v:fill on="f"/>
                  <v:stroke on="f" weight="1.0pt" dashstyle="solid" endcap="flat" miterlimit="400.0%" joinstyle="miter" linestyle="single" startarrow="none" startarrowwidth="medium" startarrowlength="medium" endarrow="none" endarrowwidth="medium" endarrowlength="medium"/>
                  <v:textbox>
                    <w:txbxContent>
                      <w:p>
                        <w:pPr>
                          <w:pStyle w:val="Body"/>
                          <w:rPr>
                            <w:rStyle w:val="None"/>
                            <w:rFonts w:ascii="Arial" w:cs="Arial" w:hAnsi="Arial" w:eastAsia="Arial"/>
                            <w:outline w:val="0"/>
                            <w:color w:val="000000"/>
                            <w:u w:val="single" w:color="000000"/>
                            <w14:textFill>
                              <w14:solidFill>
                                <w14:srgbClr w14:val="000000"/>
                              </w14:solidFill>
                            </w14:textFill>
                          </w:rPr>
                        </w:pPr>
                        <w:r>
                          <w:rPr>
                            <w:rStyle w:val="None"/>
                            <w:rFonts w:ascii="Arial" w:hAnsi="Arial"/>
                            <w:outline w:val="0"/>
                            <w:color w:val="000000"/>
                            <w:u w:val="single" w:color="000000"/>
                            <w:rtl w:val="0"/>
                            <w:lang w:val="en-US"/>
                            <w14:textFill>
                              <w14:solidFill>
                                <w14:srgbClr w14:val="000000"/>
                              </w14:solidFill>
                            </w14:textFill>
                          </w:rPr>
                          <w:t>Summary</w:t>
                        </w:r>
                      </w:p>
                      <w:p>
                        <w:pPr>
                          <w:pStyle w:val="Body"/>
                          <w:spacing w:line="276" w:lineRule="auto"/>
                          <w:rPr>
                            <w:rStyle w:val="None"/>
                            <w:rFonts w:ascii="Arial" w:cs="Arial" w:hAnsi="Arial" w:eastAsia="Arial"/>
                            <w:b w:val="1"/>
                            <w:bCs w:val="1"/>
                            <w:outline w:val="0"/>
                            <w:color w:val="000000"/>
                            <w:u w:color="000000"/>
                            <w14:textFill>
                              <w14:solidFill>
                                <w14:srgbClr w14:val="000000"/>
                              </w14:solidFill>
                            </w14:textFill>
                          </w:rPr>
                        </w:pPr>
                        <w:r>
                          <w:rPr>
                            <w:rStyle w:val="None"/>
                            <w:rFonts w:ascii="Arial" w:hAnsi="Arial"/>
                            <w:b w:val="1"/>
                            <w:bCs w:val="1"/>
                            <w:outline w:val="0"/>
                            <w:color w:val="000000"/>
                            <w:u w:color="000000"/>
                            <w:rtl w:val="0"/>
                            <w:lang w:val="en-US"/>
                            <w14:textFill>
                              <w14:solidFill>
                                <w14:srgbClr w14:val="000000"/>
                              </w14:solidFill>
                            </w14:textFill>
                          </w:rPr>
                          <w:t>Employment and Economic Participation Overview</w:t>
                        </w:r>
                      </w:p>
                      <w:p>
                        <w:pPr>
                          <w:pStyle w:val="Body"/>
                          <w:spacing w:after="120" w:line="276" w:lineRule="auto"/>
                          <w:rPr>
                            <w:rStyle w:val="None"/>
                            <w:rFonts w:ascii="Arial" w:cs="Arial" w:hAnsi="Arial" w:eastAsia="Arial"/>
                            <w:outline w:val="0"/>
                            <w:color w:val="000000"/>
                            <w:u w:color="000000"/>
                            <w14:textFill>
                              <w14:solidFill>
                                <w14:srgbClr w14:val="000000"/>
                              </w14:solidFill>
                            </w14:textFill>
                          </w:rPr>
                        </w:pPr>
                        <w:r>
                          <w:rPr>
                            <w:rStyle w:val="None"/>
                            <w:rFonts w:ascii="Arial" w:hAnsi="Arial"/>
                            <w:outline w:val="0"/>
                            <w:color w:val="000000"/>
                            <w:u w:color="000000"/>
                            <w:rtl w:val="0"/>
                            <w:lang w:val="en-US"/>
                            <w14:textFill>
                              <w14:solidFill>
                                <w14:srgbClr w14:val="000000"/>
                              </w14:solidFill>
                            </w14:textFill>
                          </w:rPr>
                          <w:t>The participation rate measures the proportion of 16</w:t>
                        </w:r>
                        <w:r>
                          <w:rPr>
                            <w:rStyle w:val="None"/>
                            <w:rFonts w:ascii="Arial" w:hAnsi="Arial" w:hint="default"/>
                            <w:outline w:val="0"/>
                            <w:color w:val="000000"/>
                            <w:u w:color="000000"/>
                            <w:rtl w:val="0"/>
                            <w:lang w:val="en-US"/>
                            <w14:textFill>
                              <w14:solidFill>
                                <w14:srgbClr w14:val="000000"/>
                              </w14:solidFill>
                            </w14:textFill>
                          </w:rPr>
                          <w:t>–</w:t>
                        </w:r>
                        <w:r>
                          <w:rPr>
                            <w:rStyle w:val="None"/>
                            <w:rFonts w:ascii="Arial" w:hAnsi="Arial"/>
                            <w:outline w:val="0"/>
                            <w:color w:val="000000"/>
                            <w:u w:color="000000"/>
                            <w:rtl w:val="0"/>
                            <w:lang w:val="en-US"/>
                            <w14:textFill>
                              <w14:solidFill>
                                <w14:srgbClr w14:val="000000"/>
                              </w14:solidFill>
                            </w14:textFill>
                          </w:rPr>
                          <w:t>19-year-olds entering employment, education, or training after leaving school.  In 2024</w:t>
                        </w:r>
                        <w:r>
                          <w:rPr>
                            <w:rStyle w:val="None"/>
                            <w:rFonts w:ascii="Arial" w:hAnsi="Arial" w:hint="default"/>
                            <w:outline w:val="0"/>
                            <w:color w:val="000000"/>
                            <w:u w:color="000000"/>
                            <w:rtl w:val="0"/>
                            <w:lang w:val="en-US"/>
                            <w14:textFill>
                              <w14:solidFill>
                                <w14:srgbClr w14:val="000000"/>
                              </w14:solidFill>
                            </w14:textFill>
                          </w:rPr>
                          <w:t>—</w:t>
                        </w:r>
                        <w:r>
                          <w:rPr>
                            <w:rStyle w:val="None"/>
                            <w:rFonts w:ascii="Arial" w:hAnsi="Arial"/>
                            <w:outline w:val="0"/>
                            <w:color w:val="000000"/>
                            <w:u w:color="000000"/>
                            <w:rtl w:val="0"/>
                            <w:lang w:val="en-US"/>
                            <w14:textFill>
                              <w14:solidFill>
                                <w14:srgbClr w14:val="000000"/>
                              </w14:solidFill>
                            </w14:textFill>
                          </w:rPr>
                          <w:t>94.4% of those aged 16-19 in Dumfries and Galloway were in positive destinations which is above Scotland at 92.7% and the highest rate on record since 2016, reflecting strong progress in youth engagement.</w:t>
                        </w:r>
                      </w:p>
                      <w:p>
                        <w:pPr>
                          <w:pStyle w:val="Body"/>
                          <w:spacing w:after="120" w:line="276" w:lineRule="auto"/>
                          <w:rPr>
                            <w:rStyle w:val="None"/>
                            <w:rFonts w:ascii="Arial" w:cs="Arial" w:hAnsi="Arial" w:eastAsia="Arial"/>
                            <w:outline w:val="0"/>
                            <w:color w:val="000000"/>
                            <w:u w:color="000000"/>
                            <w14:textFill>
                              <w14:solidFill>
                                <w14:srgbClr w14:val="000000"/>
                              </w14:solidFill>
                            </w14:textFill>
                          </w:rPr>
                        </w:pPr>
                        <w:r>
                          <w:rPr>
                            <w:rStyle w:val="None"/>
                            <w:rFonts w:ascii="Arial" w:hAnsi="Arial"/>
                            <w:outline w:val="0"/>
                            <w:color w:val="000000"/>
                            <w:u w:color="000000"/>
                            <w:rtl w:val="0"/>
                            <w:lang w:val="en-US"/>
                            <w14:textFill>
                              <w14:solidFill>
                                <w14:srgbClr w14:val="000000"/>
                              </w14:solidFill>
                            </w14:textFill>
                          </w:rPr>
                          <w:t>Job Market Activity: Job advertisements surged by 23.7% year-on-year and were 83.1% above 2019 monthly averages</w:t>
                        </w:r>
                        <w:r>
                          <w:rPr>
                            <w:rStyle w:val="None"/>
                            <w:rFonts w:ascii="Arial" w:hAnsi="Arial" w:hint="default"/>
                            <w:outline w:val="0"/>
                            <w:color w:val="000000"/>
                            <w:u w:color="000000"/>
                            <w:rtl w:val="0"/>
                            <w:lang w:val="en-US"/>
                            <w14:textFill>
                              <w14:solidFill>
                                <w14:srgbClr w14:val="000000"/>
                              </w14:solidFill>
                            </w14:textFill>
                          </w:rPr>
                          <w:t>—</w:t>
                        </w:r>
                        <w:r>
                          <w:rPr>
                            <w:rStyle w:val="None"/>
                            <w:rFonts w:ascii="Arial" w:hAnsi="Arial"/>
                            <w:outline w:val="0"/>
                            <w:color w:val="000000"/>
                            <w:u w:color="000000"/>
                            <w:rtl w:val="0"/>
                            <w:lang w:val="en-US"/>
                            <w14:textFill>
                              <w14:solidFill>
                                <w14:srgbClr w14:val="000000"/>
                              </w14:solidFill>
                            </w14:textFill>
                          </w:rPr>
                          <w:t>more than double Scotland</w:t>
                        </w:r>
                        <w:r>
                          <w:rPr>
                            <w:rStyle w:val="None"/>
                            <w:rFonts w:ascii="Arial" w:hAnsi="Arial" w:hint="default"/>
                            <w:outline w:val="0"/>
                            <w:color w:val="000000"/>
                            <w:u w:color="000000"/>
                            <w:rtl w:val="0"/>
                            <w:lang w:val="en-US"/>
                            <w14:textFill>
                              <w14:solidFill>
                                <w14:srgbClr w14:val="000000"/>
                              </w14:solidFill>
                            </w14:textFill>
                          </w:rPr>
                          <w:t>’</w:t>
                        </w:r>
                        <w:r>
                          <w:rPr>
                            <w:rStyle w:val="None"/>
                            <w:rFonts w:ascii="Arial" w:hAnsi="Arial"/>
                            <w:outline w:val="0"/>
                            <w:color w:val="000000"/>
                            <w:u w:color="000000"/>
                            <w:rtl w:val="0"/>
                            <w:lang w:val="en-US"/>
                            <w14:textFill>
                              <w14:solidFill>
                                <w14:srgbClr w14:val="000000"/>
                              </w14:solidFill>
                            </w14:textFill>
                          </w:rPr>
                          <w:t>s increase.</w:t>
                        </w:r>
                      </w:p>
                      <w:p>
                        <w:pPr>
                          <w:pStyle w:val="Body"/>
                          <w:spacing w:after="120" w:line="276" w:lineRule="auto"/>
                          <w:rPr>
                            <w:rStyle w:val="None"/>
                            <w:rFonts w:ascii="Arial" w:cs="Arial" w:hAnsi="Arial" w:eastAsia="Arial"/>
                            <w:outline w:val="0"/>
                            <w:color w:val="000000"/>
                            <w:u w:color="000000"/>
                            <w14:textFill>
                              <w14:solidFill>
                                <w14:srgbClr w14:val="000000"/>
                              </w14:solidFill>
                            </w14:textFill>
                          </w:rPr>
                        </w:pPr>
                        <w:r>
                          <w:rPr>
                            <w:rStyle w:val="None"/>
                            <w:rFonts w:ascii="Arial" w:hAnsi="Arial"/>
                            <w:outline w:val="0"/>
                            <w:color w:val="000000"/>
                            <w:u w:color="000000"/>
                            <w:rtl w:val="0"/>
                            <w:lang w:val="en-US"/>
                            <w14:textFill>
                              <w14:solidFill>
                                <w14:srgbClr w14:val="000000"/>
                              </w14:solidFill>
                            </w14:textFill>
                          </w:rPr>
                          <w:t>Employees pay increased by 2.5% in real terms in the year to January 2025, the highest increase of all Scottish areas.</w:t>
                        </w:r>
                      </w:p>
                      <w:p>
                        <w:pPr>
                          <w:pStyle w:val="Body"/>
                          <w:spacing w:after="120" w:line="276" w:lineRule="auto"/>
                          <w:rPr>
                            <w:rStyle w:val="None"/>
                            <w:rFonts w:ascii="Arial" w:cs="Arial" w:hAnsi="Arial" w:eastAsia="Arial"/>
                            <w:outline w:val="0"/>
                            <w:color w:val="000000"/>
                            <w:u w:color="000000"/>
                            <w14:textFill>
                              <w14:solidFill>
                                <w14:srgbClr w14:val="000000"/>
                              </w14:solidFill>
                            </w14:textFill>
                          </w:rPr>
                        </w:pPr>
                        <w:r>
                          <w:rPr>
                            <w:rStyle w:val="None"/>
                            <w:rFonts w:ascii="Arial" w:hAnsi="Arial"/>
                            <w:outline w:val="0"/>
                            <w:color w:val="000000"/>
                            <w:u w:color="000000"/>
                            <w:rtl w:val="0"/>
                            <w:lang w:val="en-US"/>
                            <w14:textFill>
                              <w14:solidFill>
                                <w14:srgbClr w14:val="000000"/>
                              </w14:solidFill>
                            </w14:textFill>
                          </w:rPr>
                          <w:t>In Dumfries and Galloway 19% of those aged 0-15 years lived in relative low-income families in 2024 - minus 1.3 percentage points from 20.3% in 2023.</w:t>
                        </w:r>
                      </w:p>
                      <w:p>
                        <w:pPr>
                          <w:pStyle w:val="Body"/>
                          <w:spacing w:after="120" w:line="276" w:lineRule="auto"/>
                          <w:rPr>
                            <w:rStyle w:val="None"/>
                            <w:rFonts w:ascii="Arial" w:cs="Arial" w:hAnsi="Arial" w:eastAsia="Arial"/>
                            <w:b w:val="1"/>
                            <w:bCs w:val="1"/>
                            <w:outline w:val="0"/>
                            <w:color w:val="000000"/>
                            <w:u w:color="000000"/>
                            <w14:textFill>
                              <w14:solidFill>
                                <w14:srgbClr w14:val="000000"/>
                              </w14:solidFill>
                            </w14:textFill>
                          </w:rPr>
                        </w:pPr>
                        <w:r>
                          <w:rPr>
                            <w:rStyle w:val="None"/>
                            <w:rFonts w:ascii="Arial" w:hAnsi="Arial"/>
                            <w:b w:val="1"/>
                            <w:bCs w:val="1"/>
                            <w:outline w:val="0"/>
                            <w:color w:val="000000"/>
                            <w:u w:color="000000"/>
                            <w:rtl w:val="0"/>
                            <w:lang w:val="en-US"/>
                            <w14:textFill>
                              <w14:solidFill>
                                <w14:srgbClr w14:val="000000"/>
                              </w14:solidFill>
                            </w14:textFill>
                          </w:rPr>
                          <w:t>However, several challenges remain under consideration:</w:t>
                        </w:r>
                      </w:p>
                      <w:p>
                        <w:pPr>
                          <w:pStyle w:val="List Paragraph"/>
                          <w:numPr>
                            <w:ilvl w:val="0"/>
                            <w:numId w:val="39"/>
                          </w:numPr>
                          <w:bidi w:val="0"/>
                          <w:spacing w:after="0" w:line="276" w:lineRule="auto"/>
                          <w:ind w:right="0"/>
                          <w:jc w:val="left"/>
                          <w:rPr>
                            <w:rFonts w:ascii="Arial" w:hAnsi="Arial"/>
                            <w:rtl w:val="0"/>
                            <w:lang w:val="en-US"/>
                          </w:rPr>
                        </w:pPr>
                        <w:r>
                          <w:rPr>
                            <w:rStyle w:val="None"/>
                            <w:rFonts w:ascii="Arial" w:hAnsi="Arial"/>
                            <w:outline w:val="0"/>
                            <w:color w:val="000000"/>
                            <w:u w:color="000000"/>
                            <w:rtl w:val="0"/>
                            <w:lang w:val="en-US"/>
                            <w14:textFill>
                              <w14:solidFill>
                                <w14:srgbClr w14:val="000000"/>
                              </w14:solidFill>
                            </w14:textFill>
                          </w:rPr>
                          <w:t>The percentage of workless households has reached a five-year high, currently sitting at 24.4%, significantly above the national average of 17.4%.</w:t>
                        </w:r>
                      </w:p>
                      <w:p>
                        <w:pPr>
                          <w:pStyle w:val="List Paragraph"/>
                          <w:numPr>
                            <w:ilvl w:val="0"/>
                            <w:numId w:val="39"/>
                          </w:numPr>
                          <w:bidi w:val="0"/>
                          <w:spacing w:after="0" w:line="276" w:lineRule="auto"/>
                          <w:ind w:right="0"/>
                          <w:jc w:val="left"/>
                          <w:rPr>
                            <w:rFonts w:ascii="Arial" w:hAnsi="Arial"/>
                            <w:rtl w:val="0"/>
                            <w:lang w:val="en-US"/>
                          </w:rPr>
                        </w:pPr>
                        <w:r>
                          <w:rPr>
                            <w:rStyle w:val="None"/>
                            <w:rFonts w:ascii="Arial" w:hAnsi="Arial"/>
                            <w:outline w:val="0"/>
                            <w:color w:val="000000"/>
                            <w:u w:color="000000"/>
                            <w:rtl w:val="0"/>
                            <w:lang w:val="en-US"/>
                            <w14:textFill>
                              <w14:solidFill>
                                <w14:srgbClr w14:val="000000"/>
                              </w14:solidFill>
                            </w14:textFill>
                          </w:rPr>
                          <w:t>While there has been some improvement in the proportion of people earning the Real Living Wage or more, the region still lags behind the national average.</w:t>
                        </w:r>
                      </w:p>
                      <w:p>
                        <w:pPr>
                          <w:pStyle w:val="List Paragraph"/>
                          <w:numPr>
                            <w:ilvl w:val="0"/>
                            <w:numId w:val="39"/>
                          </w:numPr>
                          <w:bidi w:val="0"/>
                          <w:spacing w:after="0" w:line="276" w:lineRule="auto"/>
                          <w:ind w:right="0"/>
                          <w:jc w:val="left"/>
                          <w:rPr>
                            <w:rFonts w:ascii="Arial" w:hAnsi="Arial"/>
                            <w:rtl w:val="0"/>
                            <w:lang w:val="en-US"/>
                          </w:rPr>
                        </w:pPr>
                        <w:r>
                          <w:rPr>
                            <w:rStyle w:val="None"/>
                            <w:rFonts w:ascii="Arial" w:hAnsi="Arial"/>
                            <w:outline w:val="0"/>
                            <w:color w:val="000000"/>
                            <w:u w:color="000000"/>
                            <w:rtl w:val="0"/>
                            <w:lang w:val="en-US"/>
                            <w14:textFill>
                              <w14:solidFill>
                                <w14:srgbClr w14:val="000000"/>
                              </w14:solidFill>
                            </w14:textFill>
                          </w:rPr>
                          <w:t>The percentage of residents receiving out-of-work benefits has increased over the past two years and is now 1% higher than the national average.</w:t>
                        </w:r>
                      </w:p>
                      <w:p>
                        <w:pPr>
                          <w:pStyle w:val="List Paragraph"/>
                          <w:numPr>
                            <w:ilvl w:val="0"/>
                            <w:numId w:val="39"/>
                          </w:numPr>
                          <w:bidi w:val="0"/>
                          <w:spacing w:after="0" w:line="276" w:lineRule="auto"/>
                          <w:ind w:right="0"/>
                          <w:jc w:val="left"/>
                          <w:rPr>
                            <w:rFonts w:ascii="Arial" w:hAnsi="Arial"/>
                            <w:rtl w:val="0"/>
                            <w:lang w:val="en-US"/>
                          </w:rPr>
                        </w:pPr>
                        <w:r>
                          <w:rPr>
                            <w:rStyle w:val="None"/>
                            <w:rFonts w:ascii="Arial" w:hAnsi="Arial"/>
                            <w:outline w:val="0"/>
                            <w:color w:val="000000"/>
                            <w:u w:color="000000"/>
                            <w:rtl w:val="0"/>
                            <w:lang w:val="en-US"/>
                            <w14:textFill>
                              <w14:solidFill>
                                <w14:srgbClr w14:val="000000"/>
                              </w14:solidFill>
                            </w14:textFill>
                          </w:rPr>
                          <w:t>Disability Employment Gap: At 42.2 percentage points, Dumfries and Galloway had the third highest gap in Scotland, significantly above the national average (30.7 p.p).</w:t>
                        </w:r>
                      </w:p>
                    </w:txbxContent>
                  </v:textbox>
                </v:shape>
              </v:group>
            </w:pict>
          </mc:Fallback>
        </mc:AlternateContent>
      </w:r>
    </w:p>
    <w:p>
      <w:pPr>
        <w:pStyle w:val="Body"/>
        <w:rPr>
          <w:rStyle w:val="None"/>
          <w:rFonts w:ascii="Arial" w:cs="Arial" w:hAnsi="Arial" w:eastAsia="Arial"/>
          <w:u w:val="single"/>
          <w:shd w:val="clear" w:color="auto" w:fill="ffff00"/>
        </w:rPr>
      </w:pPr>
    </w:p>
    <w:p>
      <w:pPr>
        <w:pStyle w:val="Body"/>
        <w:rPr>
          <w:rStyle w:val="None"/>
          <w:rFonts w:ascii="Arial" w:cs="Arial" w:hAnsi="Arial" w:eastAsia="Arial"/>
          <w:u w:val="single"/>
          <w:shd w:val="clear" w:color="auto" w:fill="ffff00"/>
        </w:rPr>
      </w:pPr>
    </w:p>
    <w:p>
      <w:pPr>
        <w:pStyle w:val="Body"/>
        <w:rPr>
          <w:rStyle w:val="None"/>
          <w:rFonts w:ascii="Arial" w:cs="Arial" w:hAnsi="Arial" w:eastAsia="Arial"/>
          <w:u w:val="single"/>
          <w:shd w:val="clear" w:color="auto" w:fill="ffff00"/>
        </w:rPr>
      </w:pPr>
    </w:p>
    <w:p>
      <w:pPr>
        <w:pStyle w:val="Body"/>
        <w:rPr>
          <w:rStyle w:val="None"/>
          <w:rFonts w:ascii="Arial" w:cs="Arial" w:hAnsi="Arial" w:eastAsia="Arial"/>
          <w:u w:val="single"/>
          <w:shd w:val="clear" w:color="auto" w:fill="ffff00"/>
        </w:rPr>
      </w:pPr>
    </w:p>
    <w:p>
      <w:pPr>
        <w:pStyle w:val="Body"/>
        <w:rPr>
          <w:rStyle w:val="None"/>
          <w:rFonts w:ascii="Arial" w:cs="Arial" w:hAnsi="Arial" w:eastAsia="Arial"/>
          <w:u w:val="single"/>
          <w:shd w:val="clear" w:color="auto" w:fill="ffff00"/>
        </w:rPr>
      </w:pPr>
    </w:p>
    <w:p>
      <w:pPr>
        <w:pStyle w:val="Body"/>
        <w:rPr>
          <w:rStyle w:val="None"/>
          <w:rFonts w:ascii="Arial" w:cs="Arial" w:hAnsi="Arial" w:eastAsia="Arial"/>
          <w:u w:val="single"/>
          <w:shd w:val="clear" w:color="auto" w:fill="ffff00"/>
        </w:rPr>
      </w:pPr>
    </w:p>
    <w:p>
      <w:pPr>
        <w:pStyle w:val="Body"/>
        <w:rPr>
          <w:rStyle w:val="None"/>
          <w:rFonts w:ascii="Arial" w:cs="Arial" w:hAnsi="Arial" w:eastAsia="Arial"/>
          <w:u w:val="single"/>
          <w:shd w:val="clear" w:color="auto" w:fill="ffff00"/>
        </w:rPr>
      </w:pPr>
    </w:p>
    <w:p>
      <w:pPr>
        <w:pStyle w:val="Body"/>
        <w:rPr>
          <w:rStyle w:val="None"/>
          <w:rFonts w:ascii="Arial" w:cs="Arial" w:hAnsi="Arial" w:eastAsia="Arial"/>
          <w:u w:val="single"/>
          <w:shd w:val="clear" w:color="auto" w:fill="ffff00"/>
        </w:rPr>
      </w:pPr>
    </w:p>
    <w:p>
      <w:pPr>
        <w:pStyle w:val="Body"/>
        <w:rPr>
          <w:rStyle w:val="None"/>
          <w:rFonts w:ascii="Arial" w:cs="Arial" w:hAnsi="Arial" w:eastAsia="Arial"/>
          <w:u w:val="single"/>
          <w:shd w:val="clear" w:color="auto" w:fill="ffff00"/>
        </w:rPr>
      </w:pPr>
    </w:p>
    <w:p>
      <w:pPr>
        <w:pStyle w:val="Body"/>
        <w:rPr>
          <w:rStyle w:val="None"/>
          <w:rFonts w:ascii="Arial" w:cs="Arial" w:hAnsi="Arial" w:eastAsia="Arial"/>
          <w:u w:val="single"/>
          <w:shd w:val="clear" w:color="auto" w:fill="ffff00"/>
        </w:rPr>
      </w:pPr>
    </w:p>
    <w:p>
      <w:pPr>
        <w:pStyle w:val="Body"/>
        <w:rPr>
          <w:rStyle w:val="None"/>
          <w:rFonts w:ascii="Arial" w:cs="Arial" w:hAnsi="Arial" w:eastAsia="Arial"/>
          <w:u w:val="single"/>
          <w:shd w:val="clear" w:color="auto" w:fill="ffff00"/>
        </w:rPr>
      </w:pPr>
    </w:p>
    <w:p>
      <w:pPr>
        <w:pStyle w:val="Body"/>
        <w:rPr>
          <w:rStyle w:val="None"/>
          <w:rFonts w:ascii="Arial" w:cs="Arial" w:hAnsi="Arial" w:eastAsia="Arial"/>
          <w:u w:val="single"/>
          <w:shd w:val="clear" w:color="auto" w:fill="ffff00"/>
        </w:rPr>
      </w:pPr>
    </w:p>
    <w:p>
      <w:pPr>
        <w:pStyle w:val="Body"/>
        <w:rPr>
          <w:rStyle w:val="None"/>
          <w:rFonts w:ascii="Arial" w:cs="Arial" w:hAnsi="Arial" w:eastAsia="Arial"/>
          <w:u w:val="single"/>
          <w:shd w:val="clear" w:color="auto" w:fill="ffff00"/>
        </w:rPr>
      </w:pPr>
    </w:p>
    <w:p>
      <w:pPr>
        <w:pStyle w:val="Body"/>
        <w:rPr>
          <w:rStyle w:val="None"/>
          <w:rFonts w:ascii="Arial" w:cs="Arial" w:hAnsi="Arial" w:eastAsia="Arial"/>
          <w:u w:val="single"/>
          <w:shd w:val="clear" w:color="auto" w:fill="ffff00"/>
        </w:rPr>
      </w:pPr>
    </w:p>
    <w:p>
      <w:pPr>
        <w:pStyle w:val="Body"/>
        <w:rPr>
          <w:rStyle w:val="None"/>
          <w:rFonts w:ascii="Arial" w:cs="Arial" w:hAnsi="Arial" w:eastAsia="Arial"/>
          <w:u w:val="single"/>
          <w:shd w:val="clear" w:color="auto" w:fill="ffff00"/>
        </w:rPr>
      </w:pPr>
    </w:p>
    <w:p>
      <w:pPr>
        <w:pStyle w:val="Body"/>
        <w:rPr>
          <w:rStyle w:val="None"/>
          <w:rFonts w:ascii="Arial" w:cs="Arial" w:hAnsi="Arial" w:eastAsia="Arial"/>
          <w:u w:val="single"/>
          <w:shd w:val="clear" w:color="auto" w:fill="ffff00"/>
        </w:rPr>
      </w:pPr>
    </w:p>
    <w:p>
      <w:pPr>
        <w:pStyle w:val="Body"/>
        <w:rPr>
          <w:rStyle w:val="None"/>
          <w:rFonts w:ascii="Arial" w:cs="Arial" w:hAnsi="Arial" w:eastAsia="Arial"/>
          <w:u w:val="single"/>
        </w:rPr>
      </w:pPr>
    </w:p>
    <w:p>
      <w:pPr>
        <w:pStyle w:val="Body"/>
        <w:rPr>
          <w:rStyle w:val="None"/>
          <w:rFonts w:ascii="Arial" w:cs="Arial" w:hAnsi="Arial" w:eastAsia="Arial"/>
          <w:b w:val="1"/>
          <w:bCs w:val="1"/>
          <w:u w:val="single"/>
        </w:rPr>
      </w:pPr>
      <w:r>
        <w:rPr>
          <w:rStyle w:val="None"/>
          <w:rFonts w:ascii="Arial" w:hAnsi="Arial"/>
          <w:b w:val="1"/>
          <w:bCs w:val="1"/>
          <w:u w:val="single"/>
          <w:rtl w:val="0"/>
          <w:lang w:val="en-US"/>
        </w:rPr>
        <w:t xml:space="preserve">Examples of positive activity to support the theme of </w:t>
      </w:r>
      <w:r>
        <w:rPr>
          <w:rStyle w:val="None"/>
          <w:rFonts w:ascii="Arial" w:hAnsi="Arial" w:hint="default"/>
          <w:b w:val="1"/>
          <w:bCs w:val="1"/>
          <w:u w:val="single"/>
          <w:rtl w:val="0"/>
          <w:lang w:val="en-US"/>
        </w:rPr>
        <w:t>“</w:t>
      </w:r>
      <w:r>
        <w:rPr>
          <w:rStyle w:val="None"/>
          <w:rFonts w:ascii="Arial" w:hAnsi="Arial"/>
          <w:b w:val="1"/>
          <w:bCs w:val="1"/>
          <w:u w:val="single"/>
          <w:rtl w:val="0"/>
          <w:lang w:val="en-US"/>
        </w:rPr>
        <w:t>Work</w:t>
      </w:r>
      <w:r>
        <w:rPr>
          <w:rStyle w:val="None"/>
          <w:rFonts w:ascii="Arial" w:hAnsi="Arial" w:hint="default"/>
          <w:b w:val="1"/>
          <w:bCs w:val="1"/>
          <w:u w:val="single"/>
          <w:rtl w:val="0"/>
          <w:lang w:val="en-US"/>
        </w:rPr>
        <w:t>”</w:t>
      </w:r>
    </w:p>
    <w:p>
      <w:pPr>
        <w:pStyle w:val="Body"/>
        <w:rPr>
          <w:rStyle w:val="None"/>
          <w:rFonts w:ascii="Arial" w:cs="Arial" w:hAnsi="Arial" w:eastAsia="Arial"/>
          <w:u w:val="single"/>
        </w:rPr>
      </w:pPr>
      <w:r>
        <w:rPr>
          <w:rStyle w:val="None"/>
          <w:rFonts w:ascii="Arial" w:hAnsi="Arial"/>
          <w:u w:val="single"/>
          <w:rtl w:val="0"/>
          <w:lang w:val="en-US"/>
        </w:rPr>
        <w:t>Employability, Skills and Partnerships</w:t>
      </w:r>
    </w:p>
    <w:p>
      <w:pPr>
        <w:pStyle w:val="List Paragraph"/>
        <w:numPr>
          <w:ilvl w:val="0"/>
          <w:numId w:val="41"/>
        </w:numPr>
        <w:bidi w:val="0"/>
        <w:ind w:right="0"/>
        <w:jc w:val="left"/>
        <w:rPr>
          <w:rFonts w:ascii="Arial" w:hAnsi="Arial"/>
          <w:rtl w:val="0"/>
          <w:lang w:val="en-US"/>
        </w:rPr>
      </w:pPr>
      <w:r>
        <w:rPr>
          <w:rStyle w:val="wacimagecontainer"/>
          <w:rFonts w:ascii="Arial" w:hAnsi="Arial"/>
          <w:rtl w:val="0"/>
          <w:lang w:val="en-US"/>
        </w:rPr>
        <w:t>Through No One Left Behind and UK Shared Prosperity Funds DGWorks was able to commission provision from public, private and third sector organisations across Dumfries and Galloway focusing support on tackling poverty, economic activity, the disability employment gap and on supporting young people who have experienced care.</w:t>
      </w:r>
    </w:p>
    <w:p>
      <w:pPr>
        <w:pStyle w:val="List Paragraph"/>
        <w:numPr>
          <w:ilvl w:val="0"/>
          <w:numId w:val="42"/>
        </w:numPr>
        <w:bidi w:val="0"/>
        <w:spacing w:before="120"/>
        <w:ind w:right="0"/>
        <w:jc w:val="left"/>
        <w:rPr>
          <w:rFonts w:ascii="Arial" w:hAnsi="Arial"/>
          <w:rtl w:val="0"/>
          <w:lang w:val="en-US"/>
        </w:rPr>
      </w:pPr>
      <w:r>
        <w:rPr>
          <w:rStyle w:val="wacimagecontainer"/>
          <w:rFonts w:ascii="Arial" w:hAnsi="Arial"/>
          <w:rtl w:val="0"/>
          <w:lang w:val="en-US"/>
        </w:rPr>
        <w:t>Dumfries and Galloway Local Employability &amp; Skills partnership (LEP) commissioned provision through the DG Works brand supported 1297 people in 2024-2025.  Positive outcomes during 2024-25 included:</w:t>
      </w:r>
    </w:p>
    <w:p>
      <w:pPr>
        <w:pStyle w:val="List Paragraph"/>
        <w:numPr>
          <w:ilvl w:val="1"/>
          <w:numId w:val="42"/>
        </w:numPr>
        <w:bidi w:val="0"/>
        <w:ind w:right="0"/>
        <w:jc w:val="left"/>
        <w:rPr>
          <w:rFonts w:ascii="Arial" w:hAnsi="Arial"/>
          <w:rtl w:val="0"/>
          <w:lang w:val="en-US"/>
        </w:rPr>
      </w:pPr>
      <w:r>
        <w:rPr>
          <w:rStyle w:val="wacimagecontainer"/>
          <w:rFonts w:ascii="Arial" w:hAnsi="Arial"/>
          <w:rtl w:val="0"/>
          <w:lang w:val="en-US"/>
        </w:rPr>
        <w:t xml:space="preserve">Employment </w:t>
        <w:tab/>
        <w:tab/>
        <w:t>202</w:t>
      </w:r>
    </w:p>
    <w:p>
      <w:pPr>
        <w:pStyle w:val="List Paragraph"/>
        <w:numPr>
          <w:ilvl w:val="1"/>
          <w:numId w:val="42"/>
        </w:numPr>
        <w:bidi w:val="0"/>
        <w:ind w:right="0"/>
        <w:jc w:val="left"/>
        <w:rPr>
          <w:rFonts w:ascii="Arial" w:hAnsi="Arial"/>
          <w:rtl w:val="0"/>
          <w:lang w:val="en-US"/>
        </w:rPr>
      </w:pPr>
      <w:r>
        <w:rPr>
          <w:rStyle w:val="wacimagecontainer"/>
          <w:rFonts w:ascii="Arial" w:hAnsi="Arial"/>
          <w:rtl w:val="0"/>
          <w:lang w:val="en-US"/>
        </w:rPr>
        <w:t>Apprenticeship</w:t>
        <w:tab/>
        <w:t>5</w:t>
      </w:r>
    </w:p>
    <w:p>
      <w:pPr>
        <w:pStyle w:val="List Paragraph"/>
        <w:numPr>
          <w:ilvl w:val="1"/>
          <w:numId w:val="42"/>
        </w:numPr>
        <w:bidi w:val="0"/>
        <w:ind w:right="0"/>
        <w:jc w:val="left"/>
        <w:rPr>
          <w:rFonts w:ascii="Arial" w:hAnsi="Arial"/>
          <w:rtl w:val="0"/>
          <w:lang w:val="en-US"/>
        </w:rPr>
      </w:pPr>
      <w:r>
        <w:rPr>
          <w:rStyle w:val="wacimagecontainer"/>
          <w:rFonts w:ascii="Arial" w:hAnsi="Arial"/>
          <w:rtl w:val="0"/>
          <w:lang w:val="en-US"/>
        </w:rPr>
        <w:t>Self-employed</w:t>
        <w:tab/>
        <w:t>22</w:t>
      </w:r>
    </w:p>
    <w:p>
      <w:pPr>
        <w:pStyle w:val="List Paragraph"/>
        <w:numPr>
          <w:ilvl w:val="1"/>
          <w:numId w:val="42"/>
        </w:numPr>
        <w:bidi w:val="0"/>
        <w:ind w:right="0"/>
        <w:jc w:val="left"/>
        <w:rPr>
          <w:rFonts w:ascii="Arial" w:hAnsi="Arial"/>
          <w:rtl w:val="0"/>
          <w:lang w:val="en-US"/>
        </w:rPr>
      </w:pPr>
      <w:r>
        <w:rPr>
          <w:rStyle w:val="wacimagecontainer"/>
          <w:rFonts w:ascii="Arial" w:hAnsi="Arial"/>
          <w:rtl w:val="0"/>
          <w:lang w:val="en-US"/>
        </w:rPr>
        <w:t>Full time education</w:t>
        <w:tab/>
        <w:t>56</w:t>
      </w:r>
    </w:p>
    <w:p>
      <w:pPr>
        <w:pStyle w:val="List Paragraph"/>
        <w:numPr>
          <w:ilvl w:val="1"/>
          <w:numId w:val="42"/>
        </w:numPr>
        <w:bidi w:val="0"/>
        <w:ind w:right="0"/>
        <w:jc w:val="left"/>
        <w:rPr>
          <w:rFonts w:ascii="Arial" w:hAnsi="Arial"/>
          <w:rtl w:val="0"/>
          <w:lang w:val="en-US"/>
        </w:rPr>
      </w:pPr>
      <w:r>
        <w:rPr>
          <w:rStyle w:val="wacimagecontainer"/>
          <w:rFonts w:ascii="Arial" w:hAnsi="Arial"/>
          <w:rtl w:val="0"/>
          <w:lang w:val="en-US"/>
        </w:rPr>
        <w:t>In work progression</w:t>
        <w:tab/>
        <w:t>6</w:t>
      </w:r>
    </w:p>
    <w:p>
      <w:pPr>
        <w:pStyle w:val="Body"/>
        <w:spacing w:after="0"/>
        <w:rPr>
          <w:rStyle w:val="None"/>
          <w:rFonts w:ascii="Arial" w:cs="Arial" w:hAnsi="Arial" w:eastAsia="Arial"/>
          <w:u w:val="single"/>
        </w:rPr>
      </w:pPr>
      <w:r>
        <w:rPr>
          <w:rStyle w:val="None"/>
          <w:rFonts w:ascii="Arial" w:hAnsi="Arial"/>
          <w:b w:val="1"/>
          <w:bCs w:val="1"/>
          <w:u w:val="single"/>
          <w:rtl w:val="0"/>
          <w:lang w:val="en-US"/>
        </w:rPr>
        <w:t xml:space="preserve">From Hesitation to Hustle </w:t>
      </w:r>
      <w:r>
        <w:rPr>
          <w:rStyle w:val="None"/>
          <w:rFonts w:ascii="Arial" w:hAnsi="Arial" w:hint="default"/>
          <w:b w:val="1"/>
          <w:bCs w:val="1"/>
          <w:u w:val="single"/>
          <w:rtl w:val="0"/>
          <w:lang w:val="en-US"/>
        </w:rPr>
        <w:t xml:space="preserve">– </w:t>
      </w:r>
      <w:r>
        <w:rPr>
          <w:rStyle w:val="None"/>
          <w:rFonts w:ascii="Arial" w:hAnsi="Arial"/>
          <w:b w:val="1"/>
          <w:bCs w:val="1"/>
          <w:u w:val="single"/>
          <w:rtl w:val="0"/>
          <w:lang w:val="en-US"/>
        </w:rPr>
        <w:t>Empowering a Local Entrepreneur to Launch a Gardening and Cleaning Business</w:t>
      </w:r>
    </w:p>
    <w:p>
      <w:pPr>
        <w:pStyle w:val="Body"/>
        <w:spacing w:after="120"/>
        <w:rPr>
          <w:rStyle w:val="None"/>
          <w:rFonts w:ascii="Arial" w:cs="Arial" w:hAnsi="Arial" w:eastAsia="Arial"/>
          <w:u w:val="single"/>
        </w:rPr>
      </w:pPr>
      <w:r>
        <w:rPr>
          <w:rStyle w:val="None"/>
          <w:rFonts w:ascii="Arial" w:hAnsi="Arial"/>
          <w:u w:val="single"/>
          <w:rtl w:val="0"/>
          <w:lang w:val="en-US"/>
        </w:rPr>
        <w:t>Individual case study example:</w:t>
      </w:r>
    </w:p>
    <w:p>
      <w:pPr>
        <w:pStyle w:val="List Paragraph"/>
        <w:numPr>
          <w:ilvl w:val="0"/>
          <w:numId w:val="42"/>
        </w:numPr>
        <w:bidi w:val="0"/>
        <w:spacing w:after="120"/>
        <w:ind w:right="0"/>
        <w:jc w:val="left"/>
        <w:rPr>
          <w:rFonts w:ascii="Arial" w:hAnsi="Arial" w:hint="default"/>
          <w:rtl w:val="0"/>
          <w:lang w:val="en-US"/>
        </w:rPr>
      </w:pPr>
      <w:r>
        <w:rPr>
          <w:rStyle w:val="wacimagecontainer"/>
          <w:rFonts w:ascii="Arial" w:hAnsi="Arial" w:hint="default"/>
          <w:rtl w:val="0"/>
          <w:lang w:val="en-US"/>
        </w:rPr>
        <w:t>“</w:t>
      </w:r>
      <w:r>
        <w:rPr>
          <w:rStyle w:val="wacimagecontainer"/>
          <w:rFonts w:ascii="Arial" w:hAnsi="Arial"/>
          <w:rtl w:val="0"/>
          <w:lang w:val="en-US"/>
        </w:rPr>
        <w:t>C</w:t>
      </w:r>
      <w:r>
        <w:rPr>
          <w:rStyle w:val="wacimagecontainer"/>
          <w:rFonts w:ascii="Arial" w:hAnsi="Arial" w:hint="default"/>
          <w:rtl w:val="0"/>
          <w:lang w:val="en-US"/>
        </w:rPr>
        <w:t xml:space="preserve">” </w:t>
      </w:r>
      <w:r>
        <w:rPr>
          <w:rStyle w:val="wacimagecontainer"/>
          <w:rFonts w:ascii="Arial" w:hAnsi="Arial"/>
          <w:rtl w:val="0"/>
          <w:lang w:val="en-US"/>
        </w:rPr>
        <w:t>faced prolonged uncertainty about starting their own business and had little confidence in the viability of their plans. They were previously unemployed and unsure about acting, largely due to self-doubt and lack of practical support. The complexity of this case stemmed from their desire to pursue self-employment in a niche industry without prior structured business experience.</w:t>
      </w:r>
    </w:p>
    <w:p>
      <w:pPr>
        <w:pStyle w:val="List Paragraph"/>
        <w:numPr>
          <w:ilvl w:val="0"/>
          <w:numId w:val="43"/>
        </w:numPr>
        <w:bidi w:val="0"/>
        <w:spacing w:line="256" w:lineRule="auto"/>
        <w:ind w:right="0"/>
        <w:jc w:val="left"/>
        <w:rPr>
          <w:rFonts w:ascii="Arial" w:hAnsi="Arial"/>
          <w:rtl w:val="0"/>
          <w:lang w:val="en-US"/>
        </w:rPr>
      </w:pPr>
      <w:r>
        <w:rPr>
          <w:rStyle w:val="wacimagecontainer"/>
          <w:rFonts w:ascii="Arial" w:hAnsi="Arial"/>
          <w:rtl w:val="0"/>
          <w:lang w:val="en-US"/>
        </w:rPr>
        <w:t>C</w:t>
      </w:r>
      <w:r>
        <w:rPr>
          <w:rStyle w:val="wacimagecontainer"/>
          <w:rFonts w:ascii="Arial" w:hAnsi="Arial" w:hint="default"/>
          <w:rtl w:val="0"/>
          <w:lang w:val="en-US"/>
        </w:rPr>
        <w:t>’</w:t>
      </w:r>
      <w:r>
        <w:rPr>
          <w:rStyle w:val="wacimagecontainer"/>
          <w:rFonts w:ascii="Arial" w:hAnsi="Arial"/>
          <w:rtl w:val="0"/>
          <w:lang w:val="en-US"/>
        </w:rPr>
        <w:t>s Triage Key Worker provided support including:</w:t>
      </w:r>
    </w:p>
    <w:p>
      <w:pPr>
        <w:pStyle w:val="List Paragraph"/>
        <w:numPr>
          <w:ilvl w:val="1"/>
          <w:numId w:val="43"/>
        </w:numPr>
        <w:bidi w:val="0"/>
        <w:spacing w:line="256" w:lineRule="auto"/>
        <w:ind w:right="0"/>
        <w:jc w:val="left"/>
        <w:rPr>
          <w:rFonts w:ascii="Arial" w:hAnsi="Arial"/>
          <w:rtl w:val="0"/>
          <w:lang w:val="en-US"/>
        </w:rPr>
      </w:pPr>
      <w:r>
        <w:rPr>
          <w:rStyle w:val="wacimagecontainer"/>
          <w:rFonts w:ascii="Arial" w:hAnsi="Arial"/>
          <w:rtl w:val="0"/>
          <w:lang w:val="en-US"/>
        </w:rPr>
        <w:t>Exploring startup costs and financial planning</w:t>
      </w:r>
    </w:p>
    <w:p>
      <w:pPr>
        <w:pStyle w:val="List Paragraph"/>
        <w:numPr>
          <w:ilvl w:val="1"/>
          <w:numId w:val="43"/>
        </w:numPr>
        <w:bidi w:val="0"/>
        <w:spacing w:line="256" w:lineRule="auto"/>
        <w:ind w:right="0"/>
        <w:jc w:val="left"/>
        <w:rPr>
          <w:rFonts w:ascii="Arial" w:hAnsi="Arial"/>
          <w:rtl w:val="0"/>
          <w:lang w:val="en-US"/>
        </w:rPr>
      </w:pPr>
      <w:r>
        <w:rPr>
          <w:rStyle w:val="wacimagecontainer"/>
          <w:rFonts w:ascii="Arial" w:hAnsi="Arial"/>
          <w:rtl w:val="0"/>
          <w:lang w:val="en-US"/>
        </w:rPr>
        <w:t>Guidance on pricing strategies and service promotion</w:t>
      </w:r>
    </w:p>
    <w:p>
      <w:pPr>
        <w:pStyle w:val="List Paragraph"/>
        <w:numPr>
          <w:ilvl w:val="1"/>
          <w:numId w:val="44"/>
        </w:numPr>
        <w:bidi w:val="0"/>
        <w:spacing w:after="0" w:line="257" w:lineRule="auto"/>
        <w:ind w:right="0"/>
        <w:jc w:val="left"/>
        <w:rPr>
          <w:rFonts w:ascii="Arial" w:hAnsi="Arial"/>
          <w:rtl w:val="0"/>
          <w:lang w:val="en-US"/>
        </w:rPr>
      </w:pPr>
      <w:r>
        <w:rPr>
          <w:rStyle w:val="wacimagecontainer"/>
          <w:rFonts w:ascii="Arial" w:hAnsi="Arial"/>
          <w:rtl w:val="0"/>
          <w:lang w:val="en-US"/>
        </w:rPr>
        <w:t>Help with recordkeeping, client management, and social aspects of business</w:t>
      </w:r>
    </w:p>
    <w:p>
      <w:pPr>
        <w:pStyle w:val="Body"/>
        <w:numPr>
          <w:ilvl w:val="1"/>
          <w:numId w:val="44"/>
        </w:numPr>
        <w:bidi w:val="0"/>
        <w:spacing w:after="0" w:line="257" w:lineRule="auto"/>
        <w:ind w:right="0"/>
        <w:jc w:val="left"/>
        <w:rPr>
          <w:rFonts w:ascii="Arial" w:hAnsi="Arial"/>
          <w:rtl w:val="0"/>
          <w:lang w:val="en-US"/>
        </w:rPr>
      </w:pPr>
      <w:r>
        <w:rPr>
          <w:rStyle w:val="wacimagecontainer"/>
          <w:rFonts w:ascii="Arial" w:hAnsi="Arial"/>
          <w:rtl w:val="0"/>
          <w:lang w:val="en-US"/>
        </w:rPr>
        <w:t>C received ongoing motivation, reassurance, and clear answers to all his operational questions.</w:t>
      </w:r>
    </w:p>
    <w:p>
      <w:pPr>
        <w:pStyle w:val="List Paragraph"/>
        <w:numPr>
          <w:ilvl w:val="0"/>
          <w:numId w:val="43"/>
        </w:numPr>
        <w:bidi w:val="0"/>
        <w:spacing w:line="256" w:lineRule="auto"/>
        <w:ind w:right="0"/>
        <w:jc w:val="left"/>
        <w:rPr>
          <w:rFonts w:ascii="Arial" w:hAnsi="Arial"/>
          <w:rtl w:val="0"/>
          <w:lang w:val="en-US"/>
        </w:rPr>
      </w:pPr>
      <w:r>
        <w:rPr>
          <w:rStyle w:val="wacimagecontainer"/>
          <w:rFonts w:ascii="Arial" w:hAnsi="Arial"/>
          <w:rtl w:val="0"/>
          <w:lang w:val="en-US"/>
        </w:rPr>
        <w:t>This resulted in a tangible outcome for C of full-time self-employment in Gardening and Cleaning services.  C built a clear structure for their business, gained confidence, and began working with autonomy and purpose.</w:t>
      </w:r>
    </w:p>
    <w:p>
      <w:pPr>
        <w:pStyle w:val="List Paragraph"/>
        <w:numPr>
          <w:ilvl w:val="0"/>
          <w:numId w:val="41"/>
        </w:numPr>
        <w:bidi w:val="0"/>
        <w:ind w:right="0"/>
        <w:jc w:val="left"/>
        <w:rPr>
          <w:rFonts w:ascii="Arial" w:hAnsi="Arial"/>
          <w:i w:val="1"/>
          <w:iCs w:val="1"/>
          <w:rtl w:val="0"/>
          <w:lang w:val="en-US"/>
        </w:rPr>
      </w:pPr>
      <w:r>
        <w:rPr>
          <w:rStyle w:val="None"/>
          <w:rFonts w:ascii="Arial" w:hAnsi="Arial"/>
          <w:i w:val="0"/>
          <w:iCs w:val="0"/>
          <w:rtl w:val="0"/>
          <w:lang w:val="en-US"/>
        </w:rPr>
        <w:t xml:space="preserve">Last word to C - </w:t>
      </w:r>
      <w:r>
        <w:rPr>
          <w:rStyle w:val="None"/>
          <w:rFonts w:ascii="Arial" w:hAnsi="Arial" w:hint="default"/>
          <w:i w:val="0"/>
          <w:iCs w:val="0"/>
          <w:rtl w:val="0"/>
          <w:lang w:val="en-US"/>
        </w:rPr>
        <w:t>“</w:t>
      </w:r>
      <w:r>
        <w:rPr>
          <w:rStyle w:val="wacimagecontainer"/>
          <w:rFonts w:ascii="Arial" w:hAnsi="Arial"/>
          <w:i w:val="1"/>
          <w:iCs w:val="1"/>
          <w:rtl w:val="0"/>
          <w:lang w:val="en-US"/>
        </w:rPr>
        <w:t>I can confidently say that Triage is an organization with professionals who, in my case, provided answers to all my questions, gave me motivation, and boosted my confidence. I am ready to confidently recommend this organisation.</w:t>
      </w:r>
      <w:r>
        <w:rPr>
          <w:rStyle w:val="wacimagecontainer"/>
          <w:rFonts w:ascii="Arial" w:hAnsi="Arial" w:hint="default"/>
          <w:i w:val="1"/>
          <w:iCs w:val="1"/>
          <w:rtl w:val="0"/>
          <w:lang w:val="en-US"/>
        </w:rPr>
        <w:t>”</w:t>
      </w:r>
    </w:p>
    <w:p>
      <w:pPr>
        <w:pStyle w:val="Body"/>
        <w:rPr>
          <w:rStyle w:val="None"/>
          <w:rFonts w:ascii="Arial" w:cs="Arial" w:hAnsi="Arial" w:eastAsia="Arial"/>
          <w:u w:val="single"/>
        </w:rPr>
      </w:pPr>
      <w:r>
        <w:rPr>
          <w:rStyle w:val="None"/>
          <w:rFonts w:ascii="Arial" w:hAnsi="Arial"/>
          <w:u w:val="single"/>
          <w:rtl w:val="0"/>
          <w:lang w:val="en-US"/>
        </w:rPr>
        <w:t xml:space="preserve">Increasing income from employment </w:t>
      </w:r>
      <w:r>
        <w:rPr>
          <w:rStyle w:val="None"/>
          <w:rFonts w:ascii="Arial" w:hAnsi="Arial" w:hint="default"/>
          <w:u w:val="single"/>
          <w:rtl w:val="0"/>
          <w:lang w:val="en-US"/>
        </w:rPr>
        <w:t xml:space="preserve">– </w:t>
      </w:r>
      <w:r>
        <w:rPr>
          <w:rStyle w:val="None"/>
          <w:rFonts w:ascii="Arial" w:hAnsi="Arial"/>
          <w:u w:val="single"/>
          <w:rtl w:val="0"/>
          <w:lang w:val="en-US"/>
        </w:rPr>
        <w:t xml:space="preserve">focus on parents </w:t>
      </w:r>
    </w:p>
    <w:p>
      <w:pPr>
        <w:pStyle w:val="List Paragraph"/>
        <w:numPr>
          <w:ilvl w:val="0"/>
          <w:numId w:val="41"/>
        </w:numPr>
        <w:bidi w:val="0"/>
        <w:ind w:right="0"/>
        <w:jc w:val="left"/>
        <w:rPr>
          <w:rFonts w:ascii="Arial" w:hAnsi="Arial"/>
          <w:rtl w:val="0"/>
          <w:lang w:val="en-US"/>
        </w:rPr>
      </w:pPr>
      <w:r>
        <w:rPr>
          <w:rStyle w:val="wacimagecontainer"/>
          <w:rFonts w:ascii="Arial" w:hAnsi="Arial"/>
          <w:rtl w:val="0"/>
          <w:lang w:val="en-US"/>
        </w:rPr>
        <w:t>Annual increases in the number of parents registered on and receiving support as part of the DG Works pipeline from 193 parents in 23-24 to 421 parents in 24-25 (an increase of 118%)</w:t>
      </w:r>
    </w:p>
    <w:p>
      <w:pPr>
        <w:pStyle w:val="List Paragraph"/>
        <w:numPr>
          <w:ilvl w:val="0"/>
          <w:numId w:val="41"/>
        </w:numPr>
        <w:bidi w:val="0"/>
        <w:ind w:right="0"/>
        <w:jc w:val="left"/>
        <w:rPr>
          <w:rFonts w:ascii="Arial" w:hAnsi="Arial"/>
          <w:rtl w:val="0"/>
          <w:lang w:val="en-US"/>
        </w:rPr>
      </w:pPr>
      <w:r>
        <w:rPr>
          <w:rStyle w:val="wacimagecontainer"/>
          <w:rFonts w:ascii="Arial" w:hAnsi="Arial"/>
          <w:rtl w:val="0"/>
          <w:lang w:val="en-US"/>
        </w:rPr>
        <w:t xml:space="preserve">Annual increases in parents from the priority families registered on and receiving support as part of the DG Works pipeline: </w:t>
      </w:r>
    </w:p>
    <w:tbl>
      <w:tblPr>
        <w:tblW w:w="9209" w:type="dxa"/>
        <w:jc w:val="left"/>
        <w:tblInd w:w="1423"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1d7"/>
        <w:tblLayout w:type="fixed"/>
      </w:tblPr>
      <w:tblGrid>
        <w:gridCol w:w="3487"/>
        <w:gridCol w:w="1895"/>
        <w:gridCol w:w="1984"/>
        <w:gridCol w:w="1843"/>
      </w:tblGrid>
      <w:tr>
        <w:tblPrEx>
          <w:shd w:val="clear" w:color="auto" w:fill="cad1d7"/>
        </w:tblPrEx>
        <w:trPr>
          <w:trHeight w:val="282" w:hRule="atLeast"/>
        </w:trPr>
        <w:tc>
          <w:tcPr>
            <w:tcW w:type="dxa" w:w="34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rFonts w:ascii="Arial" w:hAnsi="Arial"/>
                <w:shd w:val="nil" w:color="auto" w:fill="auto"/>
                <w:rtl w:val="0"/>
                <w:lang w:val="en-US"/>
              </w:rPr>
              <w:t>Priority Group</w:t>
            </w:r>
          </w:p>
        </w:tc>
        <w:tc>
          <w:tcPr>
            <w:tcW w:type="dxa" w:w="18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Style w:val="None"/>
                <w:rFonts w:ascii="Arial" w:hAnsi="Arial"/>
                <w:b w:val="1"/>
                <w:bCs w:val="1"/>
                <w:shd w:val="nil" w:color="auto" w:fill="auto"/>
                <w:rtl w:val="0"/>
                <w:lang w:val="en-US"/>
              </w:rPr>
              <w:t>23-24</w:t>
            </w:r>
          </w:p>
        </w:tc>
        <w:tc>
          <w:tcPr>
            <w:tcW w:type="dxa" w:w="19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Style w:val="None"/>
                <w:rFonts w:ascii="Arial" w:hAnsi="Arial"/>
                <w:b w:val="1"/>
                <w:bCs w:val="1"/>
                <w:shd w:val="nil" w:color="auto" w:fill="auto"/>
                <w:rtl w:val="0"/>
                <w:lang w:val="en-US"/>
              </w:rPr>
              <w:t>24-25</w:t>
            </w:r>
          </w:p>
        </w:tc>
        <w:tc>
          <w:tcPr>
            <w:tcW w:type="dxa" w:w="18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Style w:val="None"/>
                <w:rFonts w:ascii="Arial" w:hAnsi="Arial"/>
                <w:b w:val="1"/>
                <w:bCs w:val="1"/>
                <w:shd w:val="nil" w:color="auto" w:fill="auto"/>
                <w:rtl w:val="0"/>
                <w:lang w:val="en-US"/>
              </w:rPr>
              <w:t>Increase</w:t>
            </w:r>
          </w:p>
        </w:tc>
      </w:tr>
      <w:tr>
        <w:tblPrEx>
          <w:shd w:val="clear" w:color="auto" w:fill="cad1d7"/>
        </w:tblPrEx>
        <w:trPr>
          <w:trHeight w:val="282" w:hRule="atLeast"/>
        </w:trPr>
        <w:tc>
          <w:tcPr>
            <w:tcW w:type="dxa" w:w="34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rFonts w:ascii="Arial" w:hAnsi="Arial"/>
                <w:shd w:val="nil" w:color="auto" w:fill="auto"/>
                <w:rtl w:val="0"/>
                <w:lang w:val="en-US"/>
              </w:rPr>
              <w:t>Lone Parents</w:t>
            </w:r>
          </w:p>
        </w:tc>
        <w:tc>
          <w:tcPr>
            <w:tcW w:type="dxa" w:w="18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Style w:val="None"/>
                <w:rFonts w:ascii="Arial" w:hAnsi="Arial"/>
                <w:shd w:val="nil" w:color="auto" w:fill="auto"/>
                <w:rtl w:val="0"/>
                <w:lang w:val="en-US"/>
              </w:rPr>
              <w:t>77</w:t>
            </w:r>
          </w:p>
        </w:tc>
        <w:tc>
          <w:tcPr>
            <w:tcW w:type="dxa" w:w="19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Style w:val="None"/>
                <w:rFonts w:ascii="Arial" w:hAnsi="Arial"/>
                <w:shd w:val="nil" w:color="auto" w:fill="auto"/>
                <w:rtl w:val="0"/>
                <w:lang w:val="en-US"/>
              </w:rPr>
              <w:t>164</w:t>
            </w:r>
          </w:p>
        </w:tc>
        <w:tc>
          <w:tcPr>
            <w:tcW w:type="dxa" w:w="18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Style w:val="None"/>
                <w:rFonts w:ascii="Arial" w:hAnsi="Arial"/>
                <w:shd w:val="nil" w:color="auto" w:fill="auto"/>
                <w:rtl w:val="0"/>
                <w:lang w:val="en-US"/>
              </w:rPr>
              <w:t>113%</w:t>
            </w:r>
          </w:p>
        </w:tc>
      </w:tr>
      <w:tr>
        <w:tblPrEx>
          <w:shd w:val="clear" w:color="auto" w:fill="cad1d7"/>
        </w:tblPrEx>
        <w:trPr>
          <w:trHeight w:val="282" w:hRule="atLeast"/>
        </w:trPr>
        <w:tc>
          <w:tcPr>
            <w:tcW w:type="dxa" w:w="34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rFonts w:ascii="Arial" w:hAnsi="Arial"/>
                <w:shd w:val="nil" w:color="auto" w:fill="auto"/>
                <w:rtl w:val="0"/>
                <w:lang w:val="en-US"/>
              </w:rPr>
              <w:t>Child with disability</w:t>
            </w:r>
          </w:p>
        </w:tc>
        <w:tc>
          <w:tcPr>
            <w:tcW w:type="dxa" w:w="18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Style w:val="None"/>
                <w:rFonts w:ascii="Arial" w:hAnsi="Arial"/>
                <w:shd w:val="nil" w:color="auto" w:fill="auto"/>
                <w:rtl w:val="0"/>
                <w:lang w:val="en-US"/>
              </w:rPr>
              <w:t>21</w:t>
            </w:r>
          </w:p>
        </w:tc>
        <w:tc>
          <w:tcPr>
            <w:tcW w:type="dxa" w:w="19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Style w:val="None"/>
                <w:rFonts w:ascii="Arial" w:hAnsi="Arial"/>
                <w:shd w:val="nil" w:color="auto" w:fill="auto"/>
                <w:rtl w:val="0"/>
                <w:lang w:val="en-US"/>
              </w:rPr>
              <w:t>43</w:t>
            </w:r>
          </w:p>
        </w:tc>
        <w:tc>
          <w:tcPr>
            <w:tcW w:type="dxa" w:w="18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Style w:val="None"/>
                <w:rFonts w:ascii="Arial" w:hAnsi="Arial"/>
                <w:shd w:val="nil" w:color="auto" w:fill="auto"/>
                <w:rtl w:val="0"/>
                <w:lang w:val="en-US"/>
              </w:rPr>
              <w:t>105%</w:t>
            </w:r>
          </w:p>
        </w:tc>
      </w:tr>
      <w:tr>
        <w:tblPrEx>
          <w:shd w:val="clear" w:color="auto" w:fill="cad1d7"/>
        </w:tblPrEx>
        <w:trPr>
          <w:trHeight w:val="282" w:hRule="atLeast"/>
        </w:trPr>
        <w:tc>
          <w:tcPr>
            <w:tcW w:type="dxa" w:w="34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rFonts w:ascii="Arial" w:hAnsi="Arial"/>
                <w:shd w:val="nil" w:color="auto" w:fill="auto"/>
                <w:rtl w:val="0"/>
                <w:lang w:val="en-US"/>
              </w:rPr>
              <w:t>Ethnic minority</w:t>
            </w:r>
          </w:p>
        </w:tc>
        <w:tc>
          <w:tcPr>
            <w:tcW w:type="dxa" w:w="18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Style w:val="None"/>
                <w:rFonts w:ascii="Arial" w:hAnsi="Arial"/>
                <w:shd w:val="nil" w:color="auto" w:fill="auto"/>
                <w:rtl w:val="0"/>
                <w:lang w:val="en-US"/>
              </w:rPr>
              <w:t>21</w:t>
            </w:r>
          </w:p>
        </w:tc>
        <w:tc>
          <w:tcPr>
            <w:tcW w:type="dxa" w:w="19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Style w:val="None"/>
                <w:rFonts w:ascii="Arial" w:hAnsi="Arial"/>
                <w:shd w:val="nil" w:color="auto" w:fill="auto"/>
                <w:rtl w:val="0"/>
                <w:lang w:val="en-US"/>
              </w:rPr>
              <w:t>49</w:t>
            </w:r>
          </w:p>
        </w:tc>
        <w:tc>
          <w:tcPr>
            <w:tcW w:type="dxa" w:w="18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Style w:val="None"/>
                <w:rFonts w:ascii="Arial" w:hAnsi="Arial"/>
                <w:shd w:val="nil" w:color="auto" w:fill="auto"/>
                <w:rtl w:val="0"/>
                <w:lang w:val="en-US"/>
              </w:rPr>
              <w:t>133%</w:t>
            </w:r>
          </w:p>
        </w:tc>
      </w:tr>
      <w:tr>
        <w:tblPrEx>
          <w:shd w:val="clear" w:color="auto" w:fill="cad1d7"/>
        </w:tblPrEx>
        <w:trPr>
          <w:trHeight w:val="282" w:hRule="atLeast"/>
        </w:trPr>
        <w:tc>
          <w:tcPr>
            <w:tcW w:type="dxa" w:w="34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rFonts w:ascii="Arial" w:hAnsi="Arial"/>
                <w:shd w:val="nil" w:color="auto" w:fill="auto"/>
                <w:rtl w:val="0"/>
                <w:lang w:val="en-US"/>
              </w:rPr>
              <w:t>Child younger than 1</w:t>
            </w:r>
          </w:p>
        </w:tc>
        <w:tc>
          <w:tcPr>
            <w:tcW w:type="dxa" w:w="18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Style w:val="None"/>
                <w:rFonts w:ascii="Arial" w:hAnsi="Arial"/>
                <w:shd w:val="nil" w:color="auto" w:fill="auto"/>
                <w:rtl w:val="0"/>
                <w:lang w:val="en-US"/>
              </w:rPr>
              <w:t>13</w:t>
            </w:r>
          </w:p>
        </w:tc>
        <w:tc>
          <w:tcPr>
            <w:tcW w:type="dxa" w:w="19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Style w:val="None"/>
                <w:rFonts w:ascii="Arial" w:hAnsi="Arial"/>
                <w:shd w:val="nil" w:color="auto" w:fill="auto"/>
                <w:rtl w:val="0"/>
                <w:lang w:val="en-US"/>
              </w:rPr>
              <w:t>23</w:t>
            </w:r>
          </w:p>
        </w:tc>
        <w:tc>
          <w:tcPr>
            <w:tcW w:type="dxa" w:w="18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Style w:val="None"/>
                <w:rFonts w:ascii="Arial" w:hAnsi="Arial"/>
                <w:shd w:val="nil" w:color="auto" w:fill="auto"/>
                <w:rtl w:val="0"/>
                <w:lang w:val="en-US"/>
              </w:rPr>
              <w:t>77%</w:t>
            </w:r>
          </w:p>
        </w:tc>
      </w:tr>
      <w:tr>
        <w:tblPrEx>
          <w:shd w:val="clear" w:color="auto" w:fill="cad1d7"/>
        </w:tblPrEx>
        <w:trPr>
          <w:trHeight w:val="282" w:hRule="atLeast"/>
        </w:trPr>
        <w:tc>
          <w:tcPr>
            <w:tcW w:type="dxa" w:w="34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rFonts w:ascii="Arial" w:hAnsi="Arial"/>
                <w:shd w:val="nil" w:color="auto" w:fill="auto"/>
                <w:rtl w:val="0"/>
                <w:lang w:val="en-US"/>
              </w:rPr>
              <w:t>Parent with a disability</w:t>
            </w:r>
          </w:p>
        </w:tc>
        <w:tc>
          <w:tcPr>
            <w:tcW w:type="dxa" w:w="18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Style w:val="None"/>
                <w:rFonts w:ascii="Arial" w:hAnsi="Arial"/>
                <w:shd w:val="nil" w:color="auto" w:fill="auto"/>
                <w:rtl w:val="0"/>
                <w:lang w:val="en-US"/>
              </w:rPr>
              <w:t>17</w:t>
            </w:r>
          </w:p>
        </w:tc>
        <w:tc>
          <w:tcPr>
            <w:tcW w:type="dxa" w:w="19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Style w:val="None"/>
                <w:rFonts w:ascii="Arial" w:hAnsi="Arial"/>
                <w:shd w:val="nil" w:color="auto" w:fill="auto"/>
                <w:rtl w:val="0"/>
                <w:lang w:val="en-US"/>
              </w:rPr>
              <w:t>43</w:t>
            </w:r>
          </w:p>
        </w:tc>
        <w:tc>
          <w:tcPr>
            <w:tcW w:type="dxa" w:w="18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Style w:val="None"/>
                <w:rFonts w:ascii="Arial" w:hAnsi="Arial"/>
                <w:shd w:val="nil" w:color="auto" w:fill="auto"/>
                <w:rtl w:val="0"/>
                <w:lang w:val="en-US"/>
              </w:rPr>
              <w:t>153%</w:t>
            </w:r>
          </w:p>
        </w:tc>
      </w:tr>
      <w:tr>
        <w:tblPrEx>
          <w:shd w:val="clear" w:color="auto" w:fill="cad1d7"/>
        </w:tblPrEx>
        <w:trPr>
          <w:trHeight w:val="282" w:hRule="atLeast"/>
        </w:trPr>
        <w:tc>
          <w:tcPr>
            <w:tcW w:type="dxa" w:w="34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rFonts w:ascii="Arial" w:hAnsi="Arial"/>
                <w:shd w:val="nil" w:color="auto" w:fill="auto"/>
                <w:rtl w:val="0"/>
                <w:lang w:val="en-US"/>
              </w:rPr>
              <w:t>Young parent</w:t>
            </w:r>
          </w:p>
        </w:tc>
        <w:tc>
          <w:tcPr>
            <w:tcW w:type="dxa" w:w="18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Style w:val="None"/>
                <w:rFonts w:ascii="Arial" w:hAnsi="Arial"/>
                <w:shd w:val="nil" w:color="auto" w:fill="auto"/>
                <w:rtl w:val="0"/>
                <w:lang w:val="en-US"/>
              </w:rPr>
              <w:t>13</w:t>
            </w:r>
          </w:p>
        </w:tc>
        <w:tc>
          <w:tcPr>
            <w:tcW w:type="dxa" w:w="19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Style w:val="None"/>
                <w:rFonts w:ascii="Arial" w:hAnsi="Arial"/>
                <w:shd w:val="nil" w:color="auto" w:fill="auto"/>
                <w:rtl w:val="0"/>
                <w:lang w:val="en-US"/>
              </w:rPr>
              <w:t>34</w:t>
            </w:r>
          </w:p>
        </w:tc>
        <w:tc>
          <w:tcPr>
            <w:tcW w:type="dxa" w:w="18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Style w:val="None"/>
                <w:rFonts w:ascii="Arial" w:hAnsi="Arial"/>
                <w:shd w:val="nil" w:color="auto" w:fill="auto"/>
                <w:rtl w:val="0"/>
                <w:lang w:val="en-US"/>
              </w:rPr>
              <w:t>162%</w:t>
            </w:r>
          </w:p>
        </w:tc>
      </w:tr>
      <w:tr>
        <w:tblPrEx>
          <w:shd w:val="clear" w:color="auto" w:fill="cad1d7"/>
        </w:tblPrEx>
        <w:trPr>
          <w:trHeight w:val="282" w:hRule="atLeast"/>
        </w:trPr>
        <w:tc>
          <w:tcPr>
            <w:tcW w:type="dxa" w:w="34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rFonts w:ascii="Arial" w:hAnsi="Arial"/>
                <w:shd w:val="nil" w:color="auto" w:fill="auto"/>
                <w:rtl w:val="0"/>
                <w:lang w:val="en-US"/>
              </w:rPr>
              <w:t>3+ children</w:t>
            </w:r>
          </w:p>
        </w:tc>
        <w:tc>
          <w:tcPr>
            <w:tcW w:type="dxa" w:w="18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Style w:val="None"/>
                <w:rFonts w:ascii="Arial" w:hAnsi="Arial"/>
                <w:shd w:val="nil" w:color="auto" w:fill="auto"/>
                <w:rtl w:val="0"/>
                <w:lang w:val="en-US"/>
              </w:rPr>
              <w:t>38</w:t>
            </w:r>
          </w:p>
        </w:tc>
        <w:tc>
          <w:tcPr>
            <w:tcW w:type="dxa" w:w="19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Style w:val="None"/>
                <w:rFonts w:ascii="Arial" w:hAnsi="Arial"/>
                <w:shd w:val="nil" w:color="auto" w:fill="auto"/>
                <w:rtl w:val="0"/>
                <w:lang w:val="en-US"/>
              </w:rPr>
              <w:t>83</w:t>
            </w:r>
          </w:p>
        </w:tc>
        <w:tc>
          <w:tcPr>
            <w:tcW w:type="dxa" w:w="18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Style w:val="None"/>
                <w:rFonts w:ascii="Arial" w:hAnsi="Arial"/>
                <w:shd w:val="nil" w:color="auto" w:fill="auto"/>
                <w:rtl w:val="0"/>
                <w:lang w:val="en-US"/>
              </w:rPr>
              <w:t>118%</w:t>
            </w:r>
          </w:p>
        </w:tc>
      </w:tr>
    </w:tbl>
    <w:p>
      <w:pPr>
        <w:pStyle w:val="List Paragraph"/>
        <w:widowControl w:val="0"/>
        <w:numPr>
          <w:ilvl w:val="0"/>
          <w:numId w:val="45"/>
        </w:numPr>
        <w:spacing w:line="240" w:lineRule="auto"/>
      </w:pPr>
    </w:p>
    <w:p>
      <w:pPr>
        <w:pStyle w:val="Body"/>
        <w:rPr>
          <w:rStyle w:val="None"/>
          <w:rFonts w:ascii="Arial" w:cs="Arial" w:hAnsi="Arial" w:eastAsia="Arial"/>
        </w:rPr>
      </w:pPr>
    </w:p>
    <w:p>
      <w:pPr>
        <w:pStyle w:val="List Paragraph"/>
        <w:numPr>
          <w:ilvl w:val="0"/>
          <w:numId w:val="41"/>
        </w:numPr>
        <w:bidi w:val="0"/>
        <w:ind w:right="0"/>
        <w:jc w:val="left"/>
        <w:rPr>
          <w:rFonts w:ascii="Arial" w:hAnsi="Arial"/>
          <w:rtl w:val="0"/>
          <w:lang w:val="en-US"/>
        </w:rPr>
      </w:pPr>
      <w:r>
        <w:rPr>
          <w:rStyle w:val="wacimagecontainer"/>
          <w:rFonts w:ascii="Arial" w:hAnsi="Arial"/>
          <w:rtl w:val="0"/>
          <w:lang w:val="en-US"/>
        </w:rPr>
        <w:t xml:space="preserve">Annual increases in parents registered and receiving support as part of DG Works progressing into employment, work experience, volunteering, education and self-employment. </w:t>
      </w:r>
      <w:r>
        <w:rPr>
          <w:rStyle w:val="wacimagecontainer"/>
          <w:rFonts w:ascii="Arial" w:hAnsi="Arial" w:hint="default"/>
          <w:rtl w:val="0"/>
          <w:lang w:val="en-US"/>
        </w:rPr>
        <w:t xml:space="preserve">– </w:t>
      </w:r>
      <w:r>
        <w:rPr>
          <w:rStyle w:val="wacimagecontainer"/>
          <w:rFonts w:ascii="Arial" w:hAnsi="Arial"/>
          <w:rtl w:val="0"/>
          <w:lang w:val="en-US"/>
        </w:rPr>
        <w:t xml:space="preserve">from 38 in 23/24 to 90 in 24/25 an increase of 137% </w:t>
      </w:r>
    </w:p>
    <w:p>
      <w:pPr>
        <w:pStyle w:val="Body"/>
        <w:rPr>
          <w:rStyle w:val="None"/>
          <w:rFonts w:ascii="Arial" w:cs="Arial" w:hAnsi="Arial" w:eastAsia="Arial"/>
          <w:u w:val="single"/>
        </w:rPr>
      </w:pPr>
      <w:r>
        <w:rPr>
          <w:rStyle w:val="None"/>
          <w:rFonts w:ascii="Arial" w:hAnsi="Arial"/>
          <w:u w:val="single"/>
          <w:rtl w:val="0"/>
          <w:lang w:val="en-US"/>
        </w:rPr>
        <w:t>Tackling Child Poverty through employment - opening of Stranraer and Kirkconnel and Kelloholm Employability HUBs</w:t>
      </w:r>
    </w:p>
    <w:p>
      <w:pPr>
        <w:pStyle w:val="Body"/>
        <w:rPr>
          <w:rStyle w:val="None"/>
          <w:rFonts w:ascii="Arial" w:cs="Arial" w:hAnsi="Arial" w:eastAsia="Arial"/>
        </w:rPr>
      </w:pPr>
      <w:r>
        <w:rPr>
          <w:rStyle w:val="None"/>
          <w:rFonts w:ascii="Arial" w:hAnsi="Arial"/>
          <w:rtl w:val="0"/>
          <w:lang w:val="en-US"/>
        </w:rPr>
        <w:t>The Kelloholm Employability Hub, based at Hillview Leisure Centre and led by the Kirkconnel and Kelloholm Development Trust, is a vital community initiative supported by the DGWorks Innovation Fund. It serves as a central access point for employability, wellbeing, and social inclusion services in a rural area facing significant socio-economic challenges</w:t>
      </w:r>
    </w:p>
    <w:p>
      <w:pPr>
        <w:pStyle w:val="List Paragraph"/>
        <w:numPr>
          <w:ilvl w:val="0"/>
          <w:numId w:val="41"/>
        </w:numPr>
        <w:bidi w:val="0"/>
        <w:ind w:right="0"/>
        <w:jc w:val="left"/>
        <w:rPr>
          <w:rFonts w:ascii="Arial" w:hAnsi="Arial"/>
          <w:rtl w:val="0"/>
          <w:lang w:val="en-US"/>
        </w:rPr>
      </w:pPr>
      <w:r>
        <w:rPr>
          <w:rStyle w:val="wacimagecontainer"/>
          <w:rFonts w:ascii="Arial" w:hAnsi="Arial"/>
          <w:rtl w:val="0"/>
          <w:lang w:val="en-US"/>
        </w:rPr>
        <w:t>109 individuals engaged including parents, young people, and jobseekers.</w:t>
      </w:r>
    </w:p>
    <w:p>
      <w:pPr>
        <w:pStyle w:val="List Paragraph"/>
        <w:numPr>
          <w:ilvl w:val="0"/>
          <w:numId w:val="41"/>
        </w:numPr>
        <w:bidi w:val="0"/>
        <w:ind w:right="0"/>
        <w:jc w:val="left"/>
        <w:rPr>
          <w:rFonts w:ascii="Arial" w:hAnsi="Arial"/>
          <w:rtl w:val="0"/>
          <w:lang w:val="en-US"/>
        </w:rPr>
      </w:pPr>
      <w:r>
        <w:rPr>
          <w:rStyle w:val="wacimagecontainer"/>
          <w:rFonts w:ascii="Arial" w:hAnsi="Arial"/>
          <w:rtl w:val="0"/>
          <w:lang w:val="en-US"/>
        </w:rPr>
        <w:t>Regular sessions delivered three days a week, offering access to multi-agency support.</w:t>
      </w:r>
    </w:p>
    <w:p>
      <w:pPr>
        <w:pStyle w:val="List Paragraph"/>
        <w:numPr>
          <w:ilvl w:val="0"/>
          <w:numId w:val="41"/>
        </w:numPr>
        <w:bidi w:val="0"/>
        <w:ind w:right="0"/>
        <w:jc w:val="left"/>
        <w:rPr>
          <w:rFonts w:ascii="Arial" w:hAnsi="Arial"/>
          <w:rtl w:val="0"/>
          <w:lang w:val="en-US"/>
        </w:rPr>
      </w:pPr>
      <w:r>
        <w:rPr>
          <w:rStyle w:val="wacimagecontainer"/>
          <w:rFonts w:ascii="Arial" w:hAnsi="Arial"/>
          <w:rtl w:val="0"/>
          <w:lang w:val="en-US"/>
        </w:rPr>
        <w:t>Increased participation in community-led initiatives, including environmental education and softer skills development.</w:t>
      </w:r>
    </w:p>
    <w:p>
      <w:pPr>
        <w:pStyle w:val="Body"/>
        <w:rPr>
          <w:rStyle w:val="None"/>
          <w:rFonts w:ascii="Arial" w:cs="Arial" w:hAnsi="Arial" w:eastAsia="Arial"/>
        </w:rPr>
      </w:pPr>
      <w:r>
        <w:rPr>
          <w:rStyle w:val="None"/>
          <w:rFonts w:ascii="Arial" w:hAnsi="Arial"/>
          <w:rtl w:val="0"/>
          <w:lang w:val="en-US"/>
        </w:rPr>
        <w:t>Established in October 2024, the Stranraer Employability Hub was created in response to local needs, identified through service design and community listening. Funded by the DGWorks Innovation Fund, the Hub provides a welcoming, flexible space for individuals, families, businesses, and organisations to connect.  To date, the Hub has supported 55 individuals, offering tailored services that reduce barriers to employment and promote inclusive community engagement.</w:t>
      </w:r>
    </w:p>
    <w:p>
      <w:pPr>
        <w:pStyle w:val="Body"/>
        <w:rPr>
          <w:rStyle w:val="None"/>
          <w:rFonts w:ascii="Arial" w:cs="Arial" w:hAnsi="Arial" w:eastAsia="Arial"/>
          <w:u w:val="single"/>
        </w:rPr>
      </w:pPr>
      <w:r>
        <w:rPr>
          <w:rStyle w:val="None"/>
          <w:rFonts w:ascii="Arial" w:hAnsi="Arial"/>
          <w:u w:val="single"/>
          <w:rtl w:val="0"/>
          <w:lang w:val="en-US"/>
        </w:rPr>
        <w:t>Tackling the Disability Employment Gap</w:t>
      </w:r>
    </w:p>
    <w:p>
      <w:pPr>
        <w:pStyle w:val="Body"/>
        <w:rPr>
          <w:rStyle w:val="None"/>
          <w:rFonts w:ascii="Arial" w:cs="Arial" w:hAnsi="Arial" w:eastAsia="Arial"/>
          <w:u w:val="single"/>
        </w:rPr>
      </w:pPr>
      <w:r>
        <w:rPr>
          <w:rStyle w:val="None"/>
          <w:rFonts w:ascii="Arial" w:hAnsi="Arial"/>
          <w:rtl w:val="0"/>
          <w:lang w:val="en-US"/>
        </w:rPr>
        <w:t xml:space="preserve">The LEP commissioned </w:t>
      </w:r>
      <w:r>
        <w:rPr>
          <w:rStyle w:val="Hyperlink.0"/>
        </w:rPr>
        <w:fldChar w:fldCharType="begin" w:fldLock="0"/>
      </w:r>
      <w:r>
        <w:rPr>
          <w:rStyle w:val="Hyperlink.0"/>
        </w:rPr>
        <w:instrText xml:space="preserve"> HYPERLINK "https://www.dgemployability.co.uk/sites/default/files/downloads/DGLEP%2520Disability%2520Employment%2520Gap%2520DGLEP_0.pdf"</w:instrText>
      </w:r>
      <w:r>
        <w:rPr>
          <w:rStyle w:val="Hyperlink.0"/>
        </w:rPr>
        <w:fldChar w:fldCharType="separate" w:fldLock="0"/>
      </w:r>
      <w:r>
        <w:rPr>
          <w:rStyle w:val="Hyperlink.0"/>
          <w:rtl w:val="0"/>
        </w:rPr>
        <w:t>Halving the Disability Employment Gap</w:t>
      </w:r>
      <w:r>
        <w:rPr/>
        <w:fldChar w:fldCharType="end" w:fldLock="0"/>
      </w:r>
      <w:r>
        <w:rPr>
          <w:rStyle w:val="None"/>
          <w:rFonts w:ascii="Arial" w:hAnsi="Arial"/>
          <w:rtl w:val="0"/>
          <w:lang w:val="en-US"/>
        </w:rPr>
        <w:t xml:space="preserve"> identified five objectives for tackling the disability employment gap including support for school leavers and a role for Dumfries and Galloway</w:t>
      </w:r>
      <w:r>
        <w:rPr>
          <w:rStyle w:val="None"/>
          <w:rFonts w:ascii="Arial" w:hAnsi="Arial" w:hint="default"/>
          <w:rtl w:val="0"/>
          <w:lang w:val="en-US"/>
        </w:rPr>
        <w:t>’</w:t>
      </w:r>
      <w:r>
        <w:rPr>
          <w:rStyle w:val="None"/>
          <w:rFonts w:ascii="Arial" w:hAnsi="Arial"/>
          <w:rtl w:val="0"/>
          <w:lang w:val="en-US"/>
        </w:rPr>
        <w:t>s public sector employers to lead by example.</w:t>
      </w:r>
    </w:p>
    <w:p>
      <w:pPr>
        <w:pStyle w:val="Body"/>
        <w:rPr>
          <w:rStyle w:val="None"/>
          <w:rFonts w:ascii="Arial" w:cs="Arial" w:hAnsi="Arial" w:eastAsia="Arial"/>
          <w:u w:val="single"/>
        </w:rPr>
      </w:pPr>
      <w:r>
        <w:rPr>
          <w:rStyle w:val="None"/>
          <w:rFonts w:ascii="Arial" w:hAnsi="Arial"/>
          <w:u w:val="single"/>
          <w:rtl w:val="0"/>
          <w:lang w:val="fr-FR"/>
        </w:rPr>
        <w:t>Placement Plus</w:t>
      </w:r>
    </w:p>
    <w:p>
      <w:pPr>
        <w:pStyle w:val="Body"/>
        <w:rPr>
          <w:rStyle w:val="None"/>
          <w:rFonts w:ascii="Arial" w:cs="Arial" w:hAnsi="Arial" w:eastAsia="Arial"/>
          <w:u w:val="single"/>
        </w:rPr>
      </w:pPr>
      <w:r>
        <w:rPr>
          <w:rStyle w:val="None"/>
          <w:rFonts w:ascii="Arial" w:hAnsi="Arial"/>
          <w:rtl w:val="0"/>
          <w:lang w:val="en-US"/>
        </w:rPr>
        <w:t xml:space="preserve">Dumfries and Galloway Council has supported Placement Plus </w:t>
      </w:r>
      <w:r>
        <w:rPr>
          <w:rStyle w:val="None"/>
          <w:rFonts w:ascii="Arial" w:hAnsi="Arial" w:hint="default"/>
          <w:rtl w:val="0"/>
          <w:lang w:val="en-US"/>
        </w:rPr>
        <w:t xml:space="preserve">– </w:t>
      </w:r>
      <w:r>
        <w:rPr>
          <w:rStyle w:val="None"/>
          <w:rFonts w:ascii="Arial" w:hAnsi="Arial"/>
          <w:rtl w:val="0"/>
          <w:lang w:val="en-US"/>
        </w:rPr>
        <w:t>a programme for people to gain paid experience in the workplace whilst also being supported by an employability key worker.  The programme covers the cost of up to 30 hours per week for 26 weeks with additional funding for training.  For the second iteration of the programme the focus was on supporting those with disabilities.  There are 11 participants on the programme which is being independently evaluated.</w:t>
      </w:r>
    </w:p>
    <w:p>
      <w:pPr>
        <w:pStyle w:val="Body"/>
        <w:rPr>
          <w:rStyle w:val="None"/>
          <w:rFonts w:ascii="Arial" w:cs="Arial" w:hAnsi="Arial" w:eastAsia="Arial"/>
          <w:u w:val="single"/>
        </w:rPr>
      </w:pPr>
      <w:r>
        <w:rPr>
          <w:rStyle w:val="None"/>
          <w:rFonts w:ascii="Arial" w:hAnsi="Arial"/>
          <w:u w:val="single"/>
          <w:rtl w:val="0"/>
          <w:lang w:val="en-US"/>
        </w:rPr>
        <w:t>Whole Family Support to Disabled young people and families</w:t>
      </w:r>
    </w:p>
    <w:p>
      <w:pPr>
        <w:pStyle w:val="Body"/>
        <w:rPr>
          <w:rStyle w:val="None"/>
          <w:rFonts w:ascii="Arial" w:cs="Arial" w:hAnsi="Arial" w:eastAsia="Arial"/>
        </w:rPr>
      </w:pPr>
      <w:r>
        <w:rPr>
          <w:rStyle w:val="None"/>
          <w:rFonts w:ascii="Arial" w:hAnsi="Arial"/>
          <w:rtl w:val="0"/>
          <w:lang w:val="en-US"/>
        </w:rPr>
        <w:t xml:space="preserve">Following the recommendations in the LEP commissioned </w:t>
      </w:r>
      <w:r>
        <w:rPr>
          <w:rStyle w:val="Hyperlink.0"/>
        </w:rPr>
        <w:fldChar w:fldCharType="begin" w:fldLock="0"/>
      </w:r>
      <w:r>
        <w:rPr>
          <w:rStyle w:val="Hyperlink.0"/>
        </w:rPr>
        <w:instrText xml:space="preserve"> HYPERLINK "https://www.dgemployability.co.uk/sites/default/files/downloads/DGLEP%2520Disability%2520Employment%2520Gap%2520DGLEP_0.pdf"</w:instrText>
      </w:r>
      <w:r>
        <w:rPr>
          <w:rStyle w:val="Hyperlink.0"/>
        </w:rPr>
        <w:fldChar w:fldCharType="separate" w:fldLock="0"/>
      </w:r>
      <w:r>
        <w:rPr>
          <w:rStyle w:val="Hyperlink.0"/>
          <w:rtl w:val="0"/>
        </w:rPr>
        <w:t>Halving the Disability Employment Gap</w:t>
      </w:r>
      <w:r>
        <w:rPr/>
        <w:fldChar w:fldCharType="end" w:fldLock="0"/>
      </w:r>
      <w:r>
        <w:rPr>
          <w:rStyle w:val="None"/>
          <w:rFonts w:ascii="Arial" w:hAnsi="Arial"/>
          <w:rtl w:val="0"/>
          <w:lang w:val="en-US"/>
        </w:rPr>
        <w:t xml:space="preserve"> report the LEP approved funding for three key workers to provide specialist support for young disabled people in their transition from secondary school into the world of work.  The project commenced in October 2024 with key workers providing intensive one to one support and referrals up to 31</w:t>
      </w:r>
      <w:r>
        <w:rPr>
          <w:rStyle w:val="None"/>
          <w:rFonts w:ascii="Arial" w:hAnsi="Arial"/>
          <w:vertAlign w:val="superscript"/>
          <w:rtl w:val="0"/>
        </w:rPr>
        <w:t>st</w:t>
      </w:r>
      <w:r>
        <w:rPr>
          <w:rStyle w:val="None"/>
          <w:rFonts w:ascii="Arial" w:hAnsi="Arial"/>
          <w:rtl w:val="0"/>
          <w:lang w:val="en-US"/>
        </w:rPr>
        <w:t xml:space="preserve"> March 2025 were:</w:t>
      </w:r>
    </w:p>
    <w:tbl>
      <w:tblPr>
        <w:tblW w:w="6091"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1d7"/>
        <w:tblLayout w:type="fixed"/>
      </w:tblPr>
      <w:tblGrid>
        <w:gridCol w:w="4649"/>
        <w:gridCol w:w="1442"/>
      </w:tblGrid>
      <w:tr>
        <w:tblPrEx>
          <w:shd w:val="clear" w:color="auto" w:fill="cad1d7"/>
        </w:tblPrEx>
        <w:trPr>
          <w:trHeight w:val="282" w:hRule="atLeast"/>
        </w:trPr>
        <w:tc>
          <w:tcPr>
            <w:tcW w:type="dxa" w:w="46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rFonts w:ascii="Arial" w:hAnsi="Arial"/>
                <w:b w:val="1"/>
                <w:bCs w:val="1"/>
                <w:shd w:val="nil" w:color="auto" w:fill="auto"/>
                <w:rtl w:val="0"/>
                <w:lang w:val="en-US"/>
              </w:rPr>
              <w:t>Area</w:t>
            </w:r>
          </w:p>
        </w:tc>
        <w:tc>
          <w:tcPr>
            <w:tcW w:type="dxa" w:w="14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rFonts w:ascii="Arial" w:hAnsi="Arial"/>
                <w:b w:val="1"/>
                <w:bCs w:val="1"/>
                <w:shd w:val="nil" w:color="auto" w:fill="auto"/>
                <w:rtl w:val="0"/>
                <w:lang w:val="en-US"/>
              </w:rPr>
              <w:t>Referrals</w:t>
            </w:r>
          </w:p>
        </w:tc>
      </w:tr>
      <w:tr>
        <w:tblPrEx>
          <w:shd w:val="clear" w:color="auto" w:fill="cad1d7"/>
        </w:tblPrEx>
        <w:trPr>
          <w:trHeight w:val="282" w:hRule="atLeast"/>
        </w:trPr>
        <w:tc>
          <w:tcPr>
            <w:tcW w:type="dxa" w:w="46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rFonts w:ascii="Arial" w:hAnsi="Arial"/>
                <w:shd w:val="nil" w:color="auto" w:fill="auto"/>
                <w:rtl w:val="0"/>
                <w:lang w:val="en-US"/>
              </w:rPr>
              <w:t>Annandale and Eskdale</w:t>
            </w:r>
          </w:p>
        </w:tc>
        <w:tc>
          <w:tcPr>
            <w:tcW w:type="dxa" w:w="14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rFonts w:ascii="Arial" w:hAnsi="Arial"/>
                <w:shd w:val="nil" w:color="auto" w:fill="auto"/>
                <w:rtl w:val="0"/>
                <w:lang w:val="en-US"/>
              </w:rPr>
              <w:t>26</w:t>
            </w:r>
          </w:p>
        </w:tc>
      </w:tr>
      <w:tr>
        <w:tblPrEx>
          <w:shd w:val="clear" w:color="auto" w:fill="cad1d7"/>
        </w:tblPrEx>
        <w:trPr>
          <w:trHeight w:val="282" w:hRule="atLeast"/>
        </w:trPr>
        <w:tc>
          <w:tcPr>
            <w:tcW w:type="dxa" w:w="46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rFonts w:ascii="Arial" w:hAnsi="Arial"/>
                <w:shd w:val="nil" w:color="auto" w:fill="auto"/>
                <w:rtl w:val="0"/>
                <w:lang w:val="en-US"/>
              </w:rPr>
              <w:t>Dumfries, Mid and Upper Nithsdale</w:t>
            </w:r>
          </w:p>
        </w:tc>
        <w:tc>
          <w:tcPr>
            <w:tcW w:type="dxa" w:w="14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rFonts w:ascii="Arial" w:hAnsi="Arial"/>
                <w:shd w:val="nil" w:color="auto" w:fill="auto"/>
                <w:rtl w:val="0"/>
                <w:lang w:val="en-US"/>
              </w:rPr>
              <w:t>35</w:t>
            </w:r>
          </w:p>
        </w:tc>
      </w:tr>
      <w:tr>
        <w:tblPrEx>
          <w:shd w:val="clear" w:color="auto" w:fill="cad1d7"/>
        </w:tblPrEx>
        <w:trPr>
          <w:trHeight w:val="282" w:hRule="atLeast"/>
        </w:trPr>
        <w:tc>
          <w:tcPr>
            <w:tcW w:type="dxa" w:w="46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rFonts w:ascii="Arial" w:hAnsi="Arial"/>
                <w:shd w:val="nil" w:color="auto" w:fill="auto"/>
                <w:rtl w:val="0"/>
                <w:lang w:val="en-US"/>
              </w:rPr>
              <w:t>Stewartry and Wigtownshire</w:t>
            </w:r>
          </w:p>
        </w:tc>
        <w:tc>
          <w:tcPr>
            <w:tcW w:type="dxa" w:w="14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rFonts w:ascii="Arial" w:hAnsi="Arial"/>
                <w:shd w:val="nil" w:color="auto" w:fill="auto"/>
                <w:rtl w:val="0"/>
                <w:lang w:val="en-US"/>
              </w:rPr>
              <w:t>31</w:t>
            </w:r>
          </w:p>
        </w:tc>
      </w:tr>
    </w:tbl>
    <w:p>
      <w:pPr>
        <w:pStyle w:val="Body"/>
        <w:widowControl w:val="0"/>
        <w:spacing w:line="240" w:lineRule="auto"/>
        <w:rPr>
          <w:rStyle w:val="None"/>
          <w:rFonts w:ascii="Arial" w:cs="Arial" w:hAnsi="Arial" w:eastAsia="Arial"/>
        </w:rPr>
      </w:pPr>
    </w:p>
    <w:p>
      <w:pPr>
        <w:pStyle w:val="Body"/>
        <w:rPr>
          <w:rStyle w:val="None"/>
          <w:rFonts w:ascii="Arial" w:cs="Arial" w:hAnsi="Arial" w:eastAsia="Arial"/>
        </w:rPr>
      </w:pPr>
    </w:p>
    <w:p>
      <w:pPr>
        <w:pStyle w:val="Body"/>
        <w:rPr>
          <w:rStyle w:val="None"/>
          <w:rFonts w:ascii="Arial" w:cs="Arial" w:hAnsi="Arial" w:eastAsia="Arial"/>
        </w:rPr>
      </w:pPr>
      <w:r>
        <w:rPr>
          <w:rStyle w:val="None"/>
          <w:rFonts w:ascii="Arial" w:hAnsi="Arial"/>
          <w:rtl w:val="0"/>
          <w:lang w:val="en-US"/>
        </w:rPr>
        <w:t>Young people and their families are being supported with a focus on the young person</w:t>
      </w:r>
      <w:r>
        <w:rPr>
          <w:rStyle w:val="None"/>
          <w:rFonts w:ascii="Arial" w:hAnsi="Arial" w:hint="default"/>
          <w:rtl w:val="0"/>
          <w:lang w:val="en-US"/>
        </w:rPr>
        <w:t>’</w:t>
      </w:r>
      <w:r>
        <w:rPr>
          <w:rStyle w:val="None"/>
          <w:rFonts w:ascii="Arial" w:hAnsi="Arial"/>
          <w:rtl w:val="0"/>
          <w:lang w:val="en-US"/>
        </w:rPr>
        <w:t>s transition into positive destinations including volunteering, work experience, education and employment.  The project is being externally evaluated and the first phase of evaluation provided very positive feedback from young people, families and schools.  The final evaluation will seek feedback from wider stakeholders.</w:t>
      </w:r>
    </w:p>
    <w:p>
      <w:pPr>
        <w:pStyle w:val="Body"/>
        <w:rPr>
          <w:rStyle w:val="None"/>
          <w:rFonts w:ascii="Arial" w:cs="Arial" w:hAnsi="Arial" w:eastAsia="Arial"/>
          <w:u w:val="single"/>
        </w:rPr>
      </w:pPr>
      <w:r>
        <w:rPr>
          <w:rStyle w:val="None"/>
          <w:rFonts w:ascii="Arial" w:hAnsi="Arial"/>
          <w:u w:val="single"/>
          <w:rtl w:val="0"/>
          <w:lang w:val="en-US"/>
        </w:rPr>
        <w:t>Increasing the Percentage of young adults (16-19 year olds) participating in education, training, or employment</w:t>
      </w:r>
    </w:p>
    <w:p>
      <w:pPr>
        <w:pStyle w:val="Body"/>
        <w:spacing w:after="0"/>
        <w:rPr>
          <w:rStyle w:val="None"/>
          <w:rFonts w:ascii="Arial" w:cs="Arial" w:hAnsi="Arial" w:eastAsia="Arial"/>
          <w:outline w:val="0"/>
          <w:color w:val="000000"/>
          <w:u w:color="000000"/>
          <w14:textFill>
            <w14:solidFill>
              <w14:srgbClr w14:val="000000"/>
            </w14:solidFill>
          </w14:textFill>
        </w:rPr>
      </w:pPr>
    </w:p>
    <w:tbl>
      <w:tblPr>
        <w:tblW w:w="1275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1d7"/>
        <w:tblLayout w:type="fixed"/>
      </w:tblPr>
      <w:tblGrid>
        <w:gridCol w:w="4954"/>
        <w:gridCol w:w="1417"/>
        <w:gridCol w:w="1559"/>
        <w:gridCol w:w="1418"/>
        <w:gridCol w:w="1417"/>
        <w:gridCol w:w="1985"/>
      </w:tblGrid>
      <w:tr>
        <w:tblPrEx>
          <w:shd w:val="clear" w:color="auto" w:fill="cad1d7"/>
        </w:tblPrEx>
        <w:trPr>
          <w:trHeight w:val="293" w:hRule="atLeast"/>
        </w:trPr>
        <w:tc>
          <w:tcPr>
            <w:tcW w:type="dxa" w:w="4954"/>
            <w:tcBorders>
              <w:top w:val="single" w:color="000000" w:sz="6" w:space="0" w:shadow="0" w:frame="0"/>
              <w:left w:val="single" w:color="000000" w:sz="6"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jc w:val="center"/>
            </w:pPr>
            <w:r>
              <w:rPr>
                <w:rStyle w:val="None"/>
                <w:rFonts w:ascii="Aptos" w:cs="Aptos" w:hAnsi="Aptos" w:eastAsia="Aptos"/>
                <w:b w:val="1"/>
                <w:bCs w:val="1"/>
                <w:shd w:val="nil" w:color="auto" w:fill="auto"/>
                <w:rtl w:val="0"/>
                <w:lang w:val="en-US"/>
              </w:rPr>
              <w:t>Key Performance Measure</w:t>
            </w:r>
          </w:p>
        </w:tc>
        <w:tc>
          <w:tcPr>
            <w:tcW w:type="dxa" w:w="1417"/>
            <w:tcBorders>
              <w:top w:val="single" w:color="000000" w:sz="6"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Style w:val="None"/>
                <w:b w:val="1"/>
                <w:bCs w:val="1"/>
                <w:shd w:val="nil" w:color="auto" w:fill="auto"/>
                <w:rtl w:val="0"/>
                <w:lang w:val="en-US"/>
              </w:rPr>
              <w:t>2019/20</w:t>
            </w:r>
          </w:p>
        </w:tc>
        <w:tc>
          <w:tcPr>
            <w:tcW w:type="dxa" w:w="1559"/>
            <w:tcBorders>
              <w:top w:val="single" w:color="000000" w:sz="6"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Style w:val="None"/>
                <w:rFonts w:ascii="Aptos" w:cs="Aptos" w:hAnsi="Aptos" w:eastAsia="Aptos"/>
                <w:b w:val="1"/>
                <w:bCs w:val="1"/>
                <w:shd w:val="nil" w:color="auto" w:fill="auto"/>
                <w:rtl w:val="0"/>
                <w:lang w:val="en-US"/>
              </w:rPr>
              <w:t>2020/21</w:t>
            </w:r>
          </w:p>
        </w:tc>
        <w:tc>
          <w:tcPr>
            <w:tcW w:type="dxa" w:w="1418"/>
            <w:tcBorders>
              <w:top w:val="single" w:color="000000" w:sz="6"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Style w:val="None"/>
                <w:rFonts w:ascii="Aptos" w:cs="Aptos" w:hAnsi="Aptos" w:eastAsia="Aptos"/>
                <w:b w:val="1"/>
                <w:bCs w:val="1"/>
                <w:shd w:val="nil" w:color="auto" w:fill="auto"/>
                <w:rtl w:val="0"/>
                <w:lang w:val="en-US"/>
              </w:rPr>
              <w:t>2021/22</w:t>
            </w:r>
          </w:p>
        </w:tc>
        <w:tc>
          <w:tcPr>
            <w:tcW w:type="dxa" w:w="1417"/>
            <w:tcBorders>
              <w:top w:val="single" w:color="000000" w:sz="6"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Style w:val="None"/>
                <w:rFonts w:ascii="Aptos" w:cs="Aptos" w:hAnsi="Aptos" w:eastAsia="Aptos"/>
                <w:b w:val="1"/>
                <w:bCs w:val="1"/>
                <w:shd w:val="nil" w:color="auto" w:fill="auto"/>
                <w:rtl w:val="0"/>
                <w:lang w:val="en-US"/>
              </w:rPr>
              <w:t>2022/23</w:t>
            </w:r>
          </w:p>
        </w:tc>
        <w:tc>
          <w:tcPr>
            <w:tcW w:type="dxa" w:w="1985"/>
            <w:tcBorders>
              <w:top w:val="single" w:color="000000" w:sz="6" w:space="0" w:shadow="0" w:frame="0"/>
              <w:left w:val="single" w:color="000000" w:sz="4" w:space="0" w:shadow="0" w:frame="0"/>
              <w:bottom w:val="single" w:color="000000" w:sz="4" w:space="0" w:shadow="0" w:frame="0"/>
              <w:right w:val="single" w:color="000000" w:sz="6"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Style w:val="None"/>
                <w:rFonts w:ascii="Aptos" w:cs="Aptos" w:hAnsi="Aptos" w:eastAsia="Aptos"/>
                <w:b w:val="1"/>
                <w:bCs w:val="1"/>
                <w:shd w:val="nil" w:color="auto" w:fill="auto"/>
                <w:rtl w:val="0"/>
                <w:lang w:val="en-US"/>
              </w:rPr>
              <w:t>2023/24</w:t>
            </w:r>
          </w:p>
        </w:tc>
      </w:tr>
      <w:tr>
        <w:tblPrEx>
          <w:shd w:val="clear" w:color="auto" w:fill="cad1d7"/>
        </w:tblPrEx>
        <w:trPr>
          <w:trHeight w:val="845" w:hRule="atLeast"/>
        </w:trPr>
        <w:tc>
          <w:tcPr>
            <w:tcW w:type="dxa" w:w="4954"/>
            <w:tcBorders>
              <w:top w:val="single" w:color="000000" w:sz="4" w:space="0" w:shadow="0" w:frame="0"/>
              <w:left w:val="single" w:color="000000" w:sz="6" w:space="0" w:shadow="0" w:frame="0"/>
              <w:bottom w:val="single" w:color="000000" w:sz="6"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rFonts w:ascii="Arial" w:hAnsi="Arial"/>
                <w:shd w:val="nil" w:color="auto" w:fill="auto"/>
                <w:rtl w:val="0"/>
                <w:lang w:val="en-US"/>
              </w:rPr>
              <w:t>*Participation rates (those aged 16-19) leaving school and entering employment, education or training</w:t>
            </w:r>
          </w:p>
        </w:tc>
        <w:tc>
          <w:tcPr>
            <w:tcW w:type="dxa" w:w="1417"/>
            <w:tcBorders>
              <w:top w:val="single" w:color="000000" w:sz="4" w:space="0" w:shadow="0" w:frame="0"/>
              <w:left w:val="single" w:color="000000" w:sz="4" w:space="0" w:shadow="0" w:frame="0"/>
              <w:bottom w:val="single" w:color="000000" w:sz="6"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rPr>
                <w:rStyle w:val="None"/>
                <w:shd w:val="nil" w:color="auto" w:fill="auto"/>
              </w:rPr>
            </w:pPr>
            <w:r>
              <w:rPr>
                <w:rStyle w:val="None"/>
                <w:shd w:val="nil" w:color="auto" w:fill="auto"/>
                <w:rtl w:val="0"/>
                <w:lang w:val="en-US"/>
              </w:rPr>
              <w:t>91.89</w:t>
            </w:r>
          </w:p>
          <w:p>
            <w:pPr>
              <w:pStyle w:val="Body"/>
              <w:bidi w:val="0"/>
              <w:spacing w:after="0" w:line="240" w:lineRule="auto"/>
              <w:ind w:left="0" w:right="0" w:firstLine="0"/>
              <w:jc w:val="center"/>
              <w:rPr>
                <w:rtl w:val="0"/>
              </w:rPr>
            </w:pPr>
            <w:r>
              <w:rPr>
                <w:rStyle w:val="None"/>
                <w:shd w:val="nil" w:color="auto" w:fill="auto"/>
                <w:rtl w:val="0"/>
                <w:lang w:val="en-US"/>
              </w:rPr>
              <w:t>(92.13)</w:t>
            </w:r>
          </w:p>
        </w:tc>
        <w:tc>
          <w:tcPr>
            <w:tcW w:type="dxa" w:w="1559"/>
            <w:tcBorders>
              <w:top w:val="single" w:color="000000" w:sz="4" w:space="0" w:shadow="0" w:frame="0"/>
              <w:left w:val="single" w:color="000000" w:sz="4" w:space="0" w:shadow="0" w:frame="0"/>
              <w:bottom w:val="single" w:color="000000" w:sz="6"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rPr>
                <w:rStyle w:val="None"/>
                <w:shd w:val="nil" w:color="auto" w:fill="auto"/>
              </w:rPr>
            </w:pPr>
            <w:r>
              <w:rPr>
                <w:rStyle w:val="None"/>
                <w:shd w:val="nil" w:color="auto" w:fill="auto"/>
                <w:rtl w:val="0"/>
                <w:lang w:val="en-US"/>
              </w:rPr>
              <w:t>91.9</w:t>
            </w:r>
          </w:p>
          <w:p>
            <w:pPr>
              <w:pStyle w:val="Body"/>
              <w:bidi w:val="0"/>
              <w:spacing w:after="0" w:line="240" w:lineRule="auto"/>
              <w:ind w:left="0" w:right="0" w:firstLine="0"/>
              <w:jc w:val="center"/>
              <w:rPr>
                <w:rtl w:val="0"/>
              </w:rPr>
            </w:pPr>
            <w:r>
              <w:rPr>
                <w:rStyle w:val="None"/>
                <w:shd w:val="nil" w:color="auto" w:fill="auto"/>
                <w:rtl w:val="0"/>
                <w:lang w:val="en-US"/>
              </w:rPr>
              <w:t>(92.1)</w:t>
            </w:r>
          </w:p>
        </w:tc>
        <w:tc>
          <w:tcPr>
            <w:tcW w:type="dxa" w:w="1418"/>
            <w:tcBorders>
              <w:top w:val="single" w:color="000000" w:sz="4" w:space="0" w:shadow="0" w:frame="0"/>
              <w:left w:val="single" w:color="000000" w:sz="4" w:space="0" w:shadow="0" w:frame="0"/>
              <w:bottom w:val="single" w:color="000000" w:sz="6"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rPr>
                <w:rStyle w:val="None"/>
                <w:shd w:val="nil" w:color="auto" w:fill="auto"/>
              </w:rPr>
            </w:pPr>
            <w:r>
              <w:rPr>
                <w:rStyle w:val="None"/>
                <w:shd w:val="nil" w:color="auto" w:fill="auto"/>
                <w:rtl w:val="0"/>
                <w:lang w:val="en-US"/>
              </w:rPr>
              <w:t>93.3</w:t>
            </w:r>
          </w:p>
          <w:p>
            <w:pPr>
              <w:pStyle w:val="Body"/>
              <w:bidi w:val="0"/>
              <w:spacing w:after="0" w:line="240" w:lineRule="auto"/>
              <w:ind w:left="0" w:right="0" w:firstLine="0"/>
              <w:jc w:val="center"/>
              <w:rPr>
                <w:rtl w:val="0"/>
              </w:rPr>
            </w:pPr>
            <w:r>
              <w:rPr>
                <w:rStyle w:val="None"/>
                <w:shd w:val="nil" w:color="auto" w:fill="auto"/>
                <w:rtl w:val="0"/>
                <w:lang w:val="en-US"/>
              </w:rPr>
              <w:t>(92.3)</w:t>
            </w:r>
          </w:p>
        </w:tc>
        <w:tc>
          <w:tcPr>
            <w:tcW w:type="dxa" w:w="1417"/>
            <w:tcBorders>
              <w:top w:val="single" w:color="000000" w:sz="4" w:space="0" w:shadow="0" w:frame="0"/>
              <w:left w:val="single" w:color="000000" w:sz="4" w:space="0" w:shadow="0" w:frame="0"/>
              <w:bottom w:val="single" w:color="000000" w:sz="6"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rPr>
                <w:rStyle w:val="None"/>
                <w:shd w:val="nil" w:color="auto" w:fill="auto"/>
              </w:rPr>
            </w:pPr>
            <w:r>
              <w:rPr>
                <w:rStyle w:val="None"/>
                <w:shd w:val="nil" w:color="auto" w:fill="auto"/>
                <w:rtl w:val="0"/>
                <w:lang w:val="en-US"/>
              </w:rPr>
              <w:t>94</w:t>
            </w:r>
          </w:p>
          <w:p>
            <w:pPr>
              <w:pStyle w:val="Body"/>
              <w:bidi w:val="0"/>
              <w:spacing w:after="0" w:line="240" w:lineRule="auto"/>
              <w:ind w:left="0" w:right="0" w:firstLine="0"/>
              <w:jc w:val="center"/>
              <w:rPr>
                <w:rtl w:val="0"/>
              </w:rPr>
            </w:pPr>
            <w:r>
              <w:rPr>
                <w:rStyle w:val="None"/>
                <w:shd w:val="nil" w:color="auto" w:fill="auto"/>
                <w:rtl w:val="0"/>
                <w:lang w:val="en-US"/>
              </w:rPr>
              <w:t>(92.6)</w:t>
            </w:r>
          </w:p>
        </w:tc>
        <w:tc>
          <w:tcPr>
            <w:tcW w:type="dxa" w:w="1985"/>
            <w:tcBorders>
              <w:top w:val="single" w:color="000000" w:sz="4" w:space="0" w:shadow="0" w:frame="0"/>
              <w:left w:val="single" w:color="000000" w:sz="4"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spacing w:after="0" w:line="240" w:lineRule="auto"/>
              <w:jc w:val="center"/>
              <w:rPr>
                <w:rStyle w:val="None"/>
                <w:shd w:val="nil" w:color="auto" w:fill="auto"/>
              </w:rPr>
            </w:pPr>
            <w:r>
              <w:rPr>
                <w:rStyle w:val="None"/>
                <w:shd w:val="nil" w:color="auto" w:fill="auto"/>
                <w:rtl w:val="0"/>
                <w:lang w:val="en-US"/>
              </w:rPr>
              <w:t>94.4</w:t>
            </w:r>
          </w:p>
          <w:p>
            <w:pPr>
              <w:pStyle w:val="Body"/>
              <w:bidi w:val="0"/>
              <w:spacing w:after="0" w:line="240" w:lineRule="auto"/>
              <w:ind w:left="0" w:right="0" w:firstLine="0"/>
              <w:jc w:val="center"/>
              <w:rPr>
                <w:rtl w:val="0"/>
              </w:rPr>
            </w:pPr>
            <w:r>
              <w:rPr>
                <w:rStyle w:val="None"/>
                <w:shd w:val="nil" w:color="auto" w:fill="auto"/>
                <w:rtl w:val="0"/>
                <w:lang w:val="en-US"/>
              </w:rPr>
              <w:t>(92.7)</w:t>
            </w:r>
          </w:p>
        </w:tc>
      </w:tr>
    </w:tbl>
    <w:p>
      <w:pPr>
        <w:pStyle w:val="Body"/>
        <w:widowControl w:val="0"/>
        <w:spacing w:after="0" w:line="240" w:lineRule="auto"/>
        <w:rPr>
          <w:rStyle w:val="None"/>
          <w:rFonts w:ascii="Arial" w:cs="Arial" w:hAnsi="Arial" w:eastAsia="Arial"/>
          <w:outline w:val="0"/>
          <w:color w:val="000000"/>
          <w:u w:color="000000"/>
          <w14:textFill>
            <w14:solidFill>
              <w14:srgbClr w14:val="000000"/>
            </w14:solidFill>
          </w14:textFill>
        </w:rPr>
      </w:pPr>
    </w:p>
    <w:p>
      <w:pPr>
        <w:pStyle w:val="Body"/>
        <w:spacing w:after="0"/>
        <w:rPr>
          <w:rStyle w:val="None"/>
          <w:rFonts w:ascii="Arial" w:cs="Arial" w:hAnsi="Arial" w:eastAsia="Arial"/>
          <w:outline w:val="0"/>
          <w:color w:val="000000"/>
          <w:u w:color="000000"/>
          <w14:textFill>
            <w14:solidFill>
              <w14:srgbClr w14:val="000000"/>
            </w14:solidFill>
          </w14:textFill>
        </w:rPr>
      </w:pPr>
    </w:p>
    <w:p>
      <w:pPr>
        <w:pStyle w:val="Body"/>
        <w:spacing w:after="0"/>
        <w:rPr>
          <w:rStyle w:val="None"/>
          <w:rFonts w:ascii="Arial" w:cs="Arial" w:hAnsi="Arial" w:eastAsia="Arial"/>
          <w:outline w:val="0"/>
          <w:color w:val="000000"/>
          <w:u w:color="000000"/>
          <w14:textFill>
            <w14:solidFill>
              <w14:srgbClr w14:val="000000"/>
            </w14:solidFill>
          </w14:textFill>
        </w:rPr>
      </w:pPr>
      <w:r>
        <w:rPr>
          <w:rStyle w:val="None"/>
          <w:rFonts w:ascii="Arial" w:hAnsi="Arial"/>
          <w:outline w:val="0"/>
          <w:color w:val="000000"/>
          <w:u w:color="000000"/>
          <w:rtl w:val="0"/>
          <w:lang w:val="en-US"/>
          <w14:textFill>
            <w14:solidFill>
              <w14:srgbClr w14:val="000000"/>
            </w14:solidFill>
          </w14:textFill>
        </w:rPr>
        <w:t xml:space="preserve">*The region has been performing well in this key area with a very positive trend picture over the last 5 years. </w:t>
      </w:r>
    </w:p>
    <w:p>
      <w:pPr>
        <w:pStyle w:val="Body"/>
        <w:spacing w:after="0"/>
        <w:rPr>
          <w:rStyle w:val="None"/>
          <w:rFonts w:ascii="Arial" w:cs="Arial" w:hAnsi="Arial" w:eastAsia="Arial"/>
          <w:outline w:val="0"/>
          <w:color w:val="000000"/>
          <w:u w:color="000000"/>
          <w14:textFill>
            <w14:solidFill>
              <w14:srgbClr w14:val="000000"/>
            </w14:solidFill>
          </w14:textFill>
        </w:rPr>
      </w:pPr>
    </w:p>
    <w:p>
      <w:pPr>
        <w:pStyle w:val="Body"/>
        <w:spacing w:after="0"/>
      </w:pPr>
      <w:r>
        <w:rPr>
          <w:rStyle w:val="None"/>
          <w:rFonts w:ascii="Arial" w:hAnsi="Arial"/>
          <w:outline w:val="0"/>
          <w:color w:val="000000"/>
          <w:u w:color="000000"/>
          <w:rtl w:val="0"/>
          <w:lang w:val="en-US"/>
          <w14:textFill>
            <w14:solidFill>
              <w14:srgbClr w14:val="000000"/>
            </w14:solidFill>
          </w14:textFill>
        </w:rPr>
        <w:t>This improvement journey has been a result of a comprehensive set of procedures and guidelines being in place to support all schools in ensuring that every young person has access to appropriate post-school opportunities. These measures are aligned with key national policies, including the National Improvement Framework, Curriculum for Excellence, No One Left Behind, and the 15</w:t>
      </w:r>
      <w:r>
        <w:rPr>
          <w:rStyle w:val="None"/>
          <w:rFonts w:ascii="Arial" w:hAnsi="Arial" w:hint="default"/>
          <w:outline w:val="0"/>
          <w:color w:val="000000"/>
          <w:u w:color="000000"/>
          <w:rtl w:val="0"/>
          <w:lang w:val="en-US"/>
          <w14:textFill>
            <w14:solidFill>
              <w14:srgbClr w14:val="000000"/>
            </w14:solidFill>
          </w14:textFill>
        </w:rPr>
        <w:t>–</w:t>
      </w:r>
      <w:r>
        <w:rPr>
          <w:rStyle w:val="None"/>
          <w:rFonts w:ascii="Arial" w:hAnsi="Arial"/>
          <w:outline w:val="0"/>
          <w:color w:val="000000"/>
          <w:u w:color="000000"/>
          <w:rtl w:val="0"/>
          <w:lang w:val="en-US"/>
          <w14:textFill>
            <w14:solidFill>
              <w14:srgbClr w14:val="000000"/>
            </w14:solidFill>
          </w14:textFill>
        </w:rPr>
        <w:t>24 Learner Journey. The overarching aim is to enable all young people to navigate life transitions successfully, achieve personal goals, and develop the skills and confidence needed for their future.</w:t>
      </w:r>
    </w:p>
    <w:p>
      <w:pPr>
        <w:pStyle w:val="Body"/>
        <w:spacing w:after="0"/>
        <w:rPr>
          <w:rStyle w:val="None"/>
          <w:rFonts w:ascii="Arial" w:cs="Arial" w:hAnsi="Arial" w:eastAsia="Arial"/>
          <w:outline w:val="0"/>
          <w:color w:val="000000"/>
          <w:u w:color="000000"/>
          <w14:textFill>
            <w14:solidFill>
              <w14:srgbClr w14:val="000000"/>
            </w14:solidFill>
          </w14:textFill>
        </w:rPr>
      </w:pPr>
    </w:p>
    <w:p>
      <w:pPr>
        <w:pStyle w:val="Body"/>
        <w:spacing w:after="0"/>
      </w:pPr>
      <w:r>
        <w:rPr>
          <w:rStyle w:val="None"/>
          <w:rFonts w:ascii="Arial" w:hAnsi="Arial"/>
          <w:outline w:val="0"/>
          <w:color w:val="000000"/>
          <w:u w:color="000000"/>
          <w:rtl w:val="0"/>
          <w:lang w:val="en-US"/>
          <w14:textFill>
            <w14:solidFill>
              <w14:srgbClr w14:val="000000"/>
            </w14:solidFill>
          </w14:textFill>
        </w:rPr>
        <w:t>Responsibility for this work sits within the strategic framework for school leavers and is overseen by the Quality Improvement Manager. This role involves close collaboration with School Leads for Employability, Developing the Young Workforce (DYW), Employability, Skills &amp; Partnerships, and Skills Development Scotland (SDS).</w:t>
      </w:r>
    </w:p>
    <w:p>
      <w:pPr>
        <w:pStyle w:val="Body"/>
        <w:spacing w:after="0"/>
      </w:pPr>
      <w:r>
        <w:rPr>
          <w:rStyle w:val="None"/>
          <w:rFonts w:ascii="Arial" w:hAnsi="Arial"/>
          <w:outline w:val="0"/>
          <w:color w:val="000000"/>
          <w:u w:color="000000"/>
          <w:rtl w:val="0"/>
          <w:lang w:val="en-US"/>
          <w14:textFill>
            <w14:solidFill>
              <w14:srgbClr w14:val="000000"/>
            </w14:solidFill>
          </w14:textFill>
        </w:rPr>
        <w:t>The shared ambition is to achieve 100% positive destinations for school leavers. This is managed through:</w:t>
      </w:r>
    </w:p>
    <w:p>
      <w:pPr>
        <w:pStyle w:val="List Paragraph"/>
        <w:numPr>
          <w:ilvl w:val="0"/>
          <w:numId w:val="47"/>
        </w:numPr>
        <w:bidi w:val="0"/>
        <w:spacing w:after="0"/>
        <w:ind w:right="0"/>
        <w:jc w:val="left"/>
        <w:rPr>
          <w:rFonts w:ascii="Arial" w:hAnsi="Arial"/>
          <w:rtl w:val="0"/>
          <w:lang w:val="en-US"/>
        </w:rPr>
      </w:pPr>
      <w:r>
        <w:rPr>
          <w:rStyle w:val="None"/>
          <w:rFonts w:ascii="Arial" w:hAnsi="Arial"/>
          <w:outline w:val="0"/>
          <w:color w:val="000000"/>
          <w:u w:color="000000"/>
          <w:rtl w:val="0"/>
          <w:lang w:val="en-US"/>
          <w14:textFill>
            <w14:solidFill>
              <w14:srgbClr w14:val="000000"/>
            </w14:solidFill>
          </w14:textFill>
        </w:rPr>
        <w:t>Universal support: Delivered by schools and SDS across all phases of education.</w:t>
      </w:r>
    </w:p>
    <w:p>
      <w:pPr>
        <w:pStyle w:val="List Paragraph"/>
        <w:numPr>
          <w:ilvl w:val="0"/>
          <w:numId w:val="47"/>
        </w:numPr>
        <w:bidi w:val="0"/>
        <w:spacing w:after="0"/>
        <w:ind w:right="0"/>
        <w:jc w:val="left"/>
        <w:rPr>
          <w:rFonts w:ascii="Arial" w:hAnsi="Arial"/>
          <w:rtl w:val="0"/>
          <w:lang w:val="en-US"/>
        </w:rPr>
      </w:pPr>
      <w:r>
        <w:rPr>
          <w:rStyle w:val="None"/>
          <w:rFonts w:ascii="Arial" w:hAnsi="Arial"/>
          <w:outline w:val="0"/>
          <w:color w:val="000000"/>
          <w:u w:color="000000"/>
          <w:rtl w:val="0"/>
          <w:lang w:val="en-US"/>
          <w14:textFill>
            <w14:solidFill>
              <w14:srgbClr w14:val="000000"/>
            </w14:solidFill>
          </w14:textFill>
        </w:rPr>
        <w:t>Targeted interventions: Tailored to individual needs from S1 to S6, involving a range of partner organisations.</w:t>
      </w:r>
    </w:p>
    <w:p>
      <w:pPr>
        <w:pStyle w:val="Body"/>
        <w:spacing w:after="0"/>
      </w:pPr>
      <w:r>
        <w:rPr>
          <w:rStyle w:val="None"/>
          <w:rFonts w:ascii="Arial" w:hAnsi="Arial"/>
          <w:outline w:val="0"/>
          <w:color w:val="000000"/>
          <w:u w:color="000000"/>
          <w:rtl w:val="0"/>
          <w:lang w:val="en-US"/>
          <w14:textFill>
            <w14:solidFill>
              <w14:srgbClr w14:val="000000"/>
            </w14:solidFill>
          </w14:textFill>
        </w:rPr>
        <w:t>Together, these efforts ensure that every young person is equipped to make informed choices and transition confidently into further education, training, or employment.</w:t>
      </w:r>
    </w:p>
    <w:p>
      <w:pPr>
        <w:pStyle w:val="Body"/>
        <w:rPr>
          <w:rStyle w:val="None"/>
          <w:rFonts w:ascii="Arial" w:cs="Arial" w:hAnsi="Arial" w:eastAsia="Arial"/>
          <w:outline w:val="0"/>
          <w:color w:val="000000"/>
          <w:u w:val="single" w:color="000000"/>
          <w14:textFill>
            <w14:solidFill>
              <w14:srgbClr w14:val="000000"/>
            </w14:solidFill>
          </w14:textFill>
        </w:rPr>
      </w:pPr>
    </w:p>
    <w:p>
      <w:pPr>
        <w:pStyle w:val="Body"/>
        <w:rPr>
          <w:rStyle w:val="None"/>
          <w:rFonts w:ascii="Arial" w:cs="Arial" w:hAnsi="Arial" w:eastAsia="Arial"/>
          <w:outline w:val="0"/>
          <w:color w:val="000000"/>
          <w:u w:val="single" w:color="000000"/>
          <w14:textFill>
            <w14:solidFill>
              <w14:srgbClr w14:val="000000"/>
            </w14:solidFill>
          </w14:textFill>
        </w:rPr>
      </w:pPr>
    </w:p>
    <w:p>
      <w:pPr>
        <w:pStyle w:val="Body"/>
        <w:rPr>
          <w:rStyle w:val="None"/>
          <w:rFonts w:ascii="Arial" w:cs="Arial" w:hAnsi="Arial" w:eastAsia="Arial"/>
          <w:outline w:val="0"/>
          <w:color w:val="000000"/>
          <w:u w:val="single" w:color="000000"/>
          <w14:textFill>
            <w14:solidFill>
              <w14:srgbClr w14:val="000000"/>
            </w14:solidFill>
          </w14:textFill>
        </w:rPr>
      </w:pPr>
      <w:r>
        <w:rPr>
          <w:rStyle w:val="None"/>
          <w:rFonts w:ascii="Arial" w:hAnsi="Arial"/>
          <w:outline w:val="0"/>
          <w:color w:val="000000"/>
          <w:u w:val="single" w:color="000000"/>
          <w:rtl w:val="0"/>
          <w:lang w:val="en-US"/>
          <w14:textFill>
            <w14:solidFill>
              <w14:srgbClr w14:val="000000"/>
            </w14:solidFill>
          </w14:textFill>
        </w:rPr>
        <w:t>Community Learning and Development (CLD) Partnership contribution to work</w:t>
      </w:r>
    </w:p>
    <w:p>
      <w:pPr>
        <w:pStyle w:val="Body"/>
        <w:rPr>
          <w:rStyle w:val="None"/>
          <w:rFonts w:ascii="Arial" w:cs="Arial" w:hAnsi="Arial" w:eastAsia="Arial"/>
          <w:outline w:val="0"/>
          <w:color w:val="000000"/>
          <w:u w:color="000000"/>
          <w14:textFill>
            <w14:solidFill>
              <w14:srgbClr w14:val="000000"/>
            </w14:solidFill>
          </w14:textFill>
        </w:rPr>
      </w:pPr>
      <w:r>
        <w:rPr>
          <w:rStyle w:val="None"/>
          <w:rFonts w:ascii="Arial" w:hAnsi="Arial"/>
          <w:outline w:val="0"/>
          <w:color w:val="000000"/>
          <w:u w:color="000000"/>
          <w:rtl w:val="0"/>
          <w:lang w:val="en-US"/>
          <w14:textFill>
            <w14:solidFill>
              <w14:srgbClr w14:val="000000"/>
            </w14:solidFill>
          </w14:textFill>
        </w:rPr>
        <w:t>The CLD Partnerships brings together various partner organisations who have a role to play in contributing to the CLD (Scotland) Regulations 2013 through the delivery of the CLD Plan. CLD Partners are aligned to providing a range of confidence building and health and well-being supports which progresses into accredited and non-accredited qualifications such as SQA Core Skills in literacy and numeracy; communication and problem solving. All these help to support progression through the stages of the employability pipeline. Through the reporting period:</w:t>
      </w:r>
    </w:p>
    <w:p>
      <w:pPr>
        <w:pStyle w:val="List Paragraph"/>
        <w:numPr>
          <w:ilvl w:val="0"/>
          <w:numId w:val="49"/>
        </w:numPr>
        <w:bidi w:val="0"/>
        <w:ind w:right="0"/>
        <w:jc w:val="left"/>
        <w:rPr>
          <w:rFonts w:ascii="Arial" w:hAnsi="Arial"/>
          <w:rtl w:val="0"/>
          <w:lang w:val="en-US"/>
        </w:rPr>
      </w:pPr>
      <w:r>
        <w:rPr>
          <w:rStyle w:val="None"/>
          <w:rFonts w:ascii="Arial" w:hAnsi="Arial"/>
          <w:outline w:val="0"/>
          <w:color w:val="000000"/>
          <w:u w:color="000000"/>
          <w:rtl w:val="0"/>
          <w:lang w:val="en-US"/>
          <w14:textFill>
            <w14:solidFill>
              <w14:srgbClr w14:val="000000"/>
            </w14:solidFill>
          </w14:textFill>
        </w:rPr>
        <w:t>2926 adults recorded improvements in their own mental health and well-being</w:t>
      </w:r>
    </w:p>
    <w:p>
      <w:pPr>
        <w:pStyle w:val="List Paragraph"/>
        <w:numPr>
          <w:ilvl w:val="0"/>
          <w:numId w:val="49"/>
        </w:numPr>
        <w:bidi w:val="0"/>
        <w:ind w:right="0"/>
        <w:jc w:val="left"/>
        <w:rPr>
          <w:rFonts w:ascii="Arial" w:hAnsi="Arial"/>
          <w:rtl w:val="0"/>
          <w:lang w:val="en-US"/>
        </w:rPr>
      </w:pPr>
      <w:r>
        <w:rPr>
          <w:rStyle w:val="None"/>
          <w:rFonts w:ascii="Arial" w:hAnsi="Arial"/>
          <w:outline w:val="0"/>
          <w:color w:val="000000"/>
          <w:u w:color="000000"/>
          <w:rtl w:val="0"/>
          <w:lang w:val="en-US"/>
          <w14:textFill>
            <w14:solidFill>
              <w14:srgbClr w14:val="000000"/>
            </w14:solidFill>
          </w14:textFill>
        </w:rPr>
        <w:t>269 adults completed a national accredited award</w:t>
      </w:r>
    </w:p>
    <w:p>
      <w:pPr>
        <w:pStyle w:val="Body"/>
        <w:rPr>
          <w:rStyle w:val="None"/>
          <w:rFonts w:ascii="Arial" w:cs="Arial" w:hAnsi="Arial" w:eastAsia="Arial"/>
          <w:outline w:val="0"/>
          <w:color w:val="000000"/>
          <w:u w:color="000000"/>
          <w14:textFill>
            <w14:solidFill>
              <w14:srgbClr w14:val="000000"/>
            </w14:solidFill>
          </w14:textFill>
        </w:rPr>
      </w:pPr>
      <w:r>
        <w:rPr>
          <w:rStyle w:val="None"/>
          <w:rFonts w:ascii="Arial" w:hAnsi="Arial"/>
          <w:outline w:val="0"/>
          <w:color w:val="000000"/>
          <w:u w:color="000000"/>
          <w:rtl w:val="0"/>
          <w:lang w:val="en-US"/>
          <w14:textFill>
            <w14:solidFill>
              <w14:srgbClr w14:val="000000"/>
            </w14:solidFill>
          </w14:textFill>
        </w:rPr>
        <w:t>Through the Employability and Education Workstream of the Resettlement Board, focused support has also been provided to New Scots and Asylum Seekers in terms of learning English through ESOL and gaining recognition for qualifications gained in their homelands, thus helping to support local employment. This has led to:</w:t>
      </w:r>
    </w:p>
    <w:p>
      <w:pPr>
        <w:pStyle w:val="List Paragraph"/>
        <w:numPr>
          <w:ilvl w:val="0"/>
          <w:numId w:val="51"/>
        </w:numPr>
        <w:bidi w:val="0"/>
        <w:ind w:right="0"/>
        <w:jc w:val="left"/>
        <w:rPr>
          <w:rFonts w:ascii="Arial" w:hAnsi="Arial"/>
          <w:rtl w:val="0"/>
          <w:lang w:val="en-US"/>
        </w:rPr>
      </w:pPr>
      <w:r>
        <w:rPr>
          <w:rStyle w:val="None"/>
          <w:rFonts w:ascii="Arial" w:hAnsi="Arial"/>
          <w:outline w:val="0"/>
          <w:color w:val="000000"/>
          <w:u w:color="000000"/>
          <w:rtl w:val="0"/>
          <w:lang w:val="en-US"/>
          <w14:textFill>
            <w14:solidFill>
              <w14:srgbClr w14:val="000000"/>
            </w14:solidFill>
          </w14:textFill>
        </w:rPr>
        <w:t>750 referrals being made with 450 ESOL assessments being completed</w:t>
      </w:r>
    </w:p>
    <w:p>
      <w:pPr>
        <w:pStyle w:val="List Paragraph"/>
        <w:numPr>
          <w:ilvl w:val="0"/>
          <w:numId w:val="51"/>
        </w:numPr>
        <w:bidi w:val="0"/>
        <w:ind w:right="0"/>
        <w:jc w:val="left"/>
        <w:rPr>
          <w:rFonts w:ascii="Arial" w:hAnsi="Arial"/>
          <w:rtl w:val="0"/>
          <w:lang w:val="en-US"/>
        </w:rPr>
      </w:pPr>
      <w:r>
        <w:rPr>
          <w:rStyle w:val="None"/>
          <w:rFonts w:ascii="Arial" w:hAnsi="Arial"/>
          <w:outline w:val="0"/>
          <w:color w:val="000000"/>
          <w:u w:color="000000"/>
          <w:rtl w:val="0"/>
          <w:lang w:val="en-US"/>
          <w14:textFill>
            <w14:solidFill>
              <w14:srgbClr w14:val="000000"/>
            </w14:solidFill>
          </w14:textFill>
        </w:rPr>
        <w:t>An 80% success rate in British Council language tests</w:t>
      </w:r>
    </w:p>
    <w:p>
      <w:pPr>
        <w:pStyle w:val="List Paragraph"/>
        <w:numPr>
          <w:ilvl w:val="0"/>
          <w:numId w:val="51"/>
        </w:numPr>
        <w:bidi w:val="0"/>
        <w:ind w:right="0"/>
        <w:jc w:val="left"/>
        <w:rPr>
          <w:rFonts w:ascii="Arial" w:hAnsi="Arial"/>
          <w:rtl w:val="0"/>
          <w:lang w:val="en-US"/>
        </w:rPr>
      </w:pPr>
      <w:r>
        <w:rPr>
          <w:rStyle w:val="None"/>
          <w:rFonts w:ascii="Arial" w:hAnsi="Arial"/>
          <w:outline w:val="0"/>
          <w:color w:val="000000"/>
          <w:u w:color="000000"/>
          <w:rtl w:val="0"/>
          <w:lang w:val="en-US"/>
          <w14:textFill>
            <w14:solidFill>
              <w14:srgbClr w14:val="000000"/>
            </w14:solidFill>
          </w14:textFill>
        </w:rPr>
        <w:t>Through the European Network of Information Centres (ENIC) process, 68 learners were supported to secure recognition of degree level qualifications undertaken outwith the Country</w:t>
      </w:r>
    </w:p>
    <w:p>
      <w:pPr>
        <w:pStyle w:val="Body"/>
        <w:rPr>
          <w:rStyle w:val="None"/>
          <w:rFonts w:ascii="Arial" w:cs="Arial" w:hAnsi="Arial" w:eastAsia="Arial"/>
          <w:outline w:val="0"/>
          <w:color w:val="000000"/>
          <w:u w:color="000000"/>
          <w14:textFill>
            <w14:solidFill>
              <w14:srgbClr w14:val="000000"/>
            </w14:solidFill>
          </w14:textFill>
        </w:rPr>
      </w:pPr>
    </w:p>
    <w:p>
      <w:pPr>
        <w:pStyle w:val="Body"/>
        <w:rPr>
          <w:rStyle w:val="None"/>
          <w:rFonts w:ascii="Arial" w:cs="Arial" w:hAnsi="Arial" w:eastAsia="Arial"/>
          <w:outline w:val="0"/>
          <w:color w:val="000000"/>
          <w:u w:color="000000"/>
          <w14:textFill>
            <w14:solidFill>
              <w14:srgbClr w14:val="000000"/>
            </w14:solidFill>
          </w14:textFill>
        </w:rPr>
      </w:pPr>
    </w:p>
    <w:p>
      <w:pPr>
        <w:pStyle w:val="Body"/>
        <w:rPr>
          <w:rStyle w:val="None"/>
          <w:rFonts w:ascii="Arial" w:cs="Arial" w:hAnsi="Arial" w:eastAsia="Arial"/>
          <w:outline w:val="0"/>
          <w:color w:val="000000"/>
          <w:u w:color="000000"/>
          <w14:textFill>
            <w14:solidFill>
              <w14:srgbClr w14:val="000000"/>
            </w14:solidFill>
          </w14:textFill>
        </w:rPr>
      </w:pPr>
    </w:p>
    <w:p>
      <w:pPr>
        <w:pStyle w:val="Body"/>
        <w:rPr>
          <w:rStyle w:val="None"/>
          <w:rFonts w:ascii="Arial" w:cs="Arial" w:hAnsi="Arial" w:eastAsia="Arial"/>
          <w:outline w:val="0"/>
          <w:color w:val="000000"/>
          <w:u w:color="000000"/>
          <w14:textFill>
            <w14:solidFill>
              <w14:srgbClr w14:val="000000"/>
            </w14:solidFill>
          </w14:textFill>
        </w:rPr>
      </w:pPr>
    </w:p>
    <w:p>
      <w:pPr>
        <w:pStyle w:val="Body"/>
        <w:rPr>
          <w:rStyle w:val="None"/>
          <w:rFonts w:ascii="Arial" w:cs="Arial" w:hAnsi="Arial" w:eastAsia="Arial"/>
          <w:outline w:val="0"/>
          <w:color w:val="000000"/>
          <w:u w:color="000000"/>
          <w14:textFill>
            <w14:solidFill>
              <w14:srgbClr w14:val="000000"/>
            </w14:solidFill>
          </w14:textFill>
        </w:rPr>
      </w:pPr>
    </w:p>
    <w:p>
      <w:pPr>
        <w:pStyle w:val="Body"/>
        <w:rPr>
          <w:rStyle w:val="None"/>
          <w:rFonts w:ascii="Arial" w:cs="Arial" w:hAnsi="Arial" w:eastAsia="Arial"/>
          <w:outline w:val="0"/>
          <w:color w:val="000000"/>
          <w:u w:color="000000"/>
          <w14:textFill>
            <w14:solidFill>
              <w14:srgbClr w14:val="000000"/>
            </w14:solidFill>
          </w14:textFill>
        </w:rPr>
      </w:pPr>
    </w:p>
    <w:p>
      <w:pPr>
        <w:pStyle w:val="Body"/>
        <w:rPr>
          <w:rStyle w:val="None"/>
          <w:rFonts w:ascii="Arial" w:cs="Arial" w:hAnsi="Arial" w:eastAsia="Arial"/>
          <w:outline w:val="0"/>
          <w:color w:val="000000"/>
          <w:u w:color="000000"/>
          <w14:textFill>
            <w14:solidFill>
              <w14:srgbClr w14:val="000000"/>
            </w14:solidFill>
          </w14:textFill>
        </w:rPr>
      </w:pPr>
    </w:p>
    <w:p>
      <w:pPr>
        <w:pStyle w:val="Body"/>
        <w:rPr>
          <w:rStyle w:val="None"/>
          <w:rFonts w:ascii="Arial" w:cs="Arial" w:hAnsi="Arial" w:eastAsia="Arial"/>
          <w:b w:val="1"/>
          <w:bCs w:val="1"/>
          <w:outline w:val="0"/>
          <w:color w:val="000000"/>
          <w:u w:color="000000"/>
          <w14:textFill>
            <w14:solidFill>
              <w14:srgbClr w14:val="000000"/>
            </w14:solidFill>
          </w14:textFill>
        </w:rPr>
      </w:pPr>
      <w:r>
        <w:rPr>
          <w:rStyle w:val="None"/>
          <w:rFonts w:ascii="Arial" w:hAnsi="Arial"/>
          <w:b w:val="1"/>
          <w:bCs w:val="1"/>
          <w:outline w:val="0"/>
          <w:color w:val="000000"/>
          <w:u w:color="000000"/>
          <w:rtl w:val="0"/>
          <w:lang w:val="de-DE"/>
          <w14:textFill>
            <w14:solidFill>
              <w14:srgbClr w14:val="000000"/>
            </w14:solidFill>
          </w14:textFill>
        </w:rPr>
        <w:t>Work Case Studies</w:t>
      </w:r>
    </w:p>
    <w:p>
      <w:pPr>
        <w:pStyle w:val="Body"/>
        <w:rPr>
          <w:rStyle w:val="None"/>
          <w:rFonts w:ascii="Arial" w:cs="Arial" w:hAnsi="Arial" w:eastAsia="Arial"/>
          <w:b w:val="1"/>
          <w:bCs w:val="1"/>
          <w:outline w:val="0"/>
          <w:color w:val="000000"/>
          <w:u w:color="000000"/>
          <w14:textFill>
            <w14:solidFill>
              <w14:srgbClr w14:val="000000"/>
            </w14:solidFill>
          </w14:textFill>
        </w:rPr>
      </w:pPr>
      <w:r>
        <w:rPr>
          <w:rStyle w:val="None"/>
          <w:rFonts w:ascii="Arial" w:hAnsi="Arial"/>
          <w:b w:val="1"/>
          <w:bCs w:val="1"/>
          <w:outline w:val="0"/>
          <w:color w:val="000000"/>
          <w:u w:color="000000"/>
          <w:rtl w:val="0"/>
          <w:lang w:val="en-US"/>
          <w14:textFill>
            <w14:solidFill>
              <w14:srgbClr w14:val="000000"/>
            </w14:solidFill>
          </w14:textFill>
        </w:rPr>
        <w:t xml:space="preserve">Case Study 3 </w:t>
      </w:r>
      <w:r>
        <w:rPr>
          <w:rStyle w:val="None"/>
          <w:rFonts w:ascii="Arial" w:hAnsi="Arial" w:hint="default"/>
          <w:b w:val="1"/>
          <w:bCs w:val="1"/>
          <w:outline w:val="0"/>
          <w:color w:val="000000"/>
          <w:u w:color="000000"/>
          <w:rtl w:val="0"/>
          <w:lang w:val="en-US"/>
          <w14:textFill>
            <w14:solidFill>
              <w14:srgbClr w14:val="000000"/>
            </w14:solidFill>
          </w14:textFill>
        </w:rPr>
        <w:t xml:space="preserve">– </w:t>
      </w:r>
      <w:r>
        <w:rPr>
          <w:rStyle w:val="None"/>
          <w:rFonts w:ascii="Arial" w:hAnsi="Arial"/>
          <w:b w:val="1"/>
          <w:bCs w:val="1"/>
          <w:outline w:val="0"/>
          <w:color w:val="000000"/>
          <w:u w:color="000000"/>
          <w:rtl w:val="0"/>
          <w:lang w:val="en-US"/>
          <w14:textFill>
            <w14:solidFill>
              <w14:srgbClr w14:val="000000"/>
            </w14:solidFill>
          </w14:textFill>
        </w:rPr>
        <w:t>Community Integration</w:t>
      </w:r>
    </w:p>
    <w:p>
      <w:pPr>
        <w:pStyle w:val="Body"/>
        <w:rPr>
          <w:rStyle w:val="None"/>
          <w:rFonts w:ascii="Arial" w:cs="Arial" w:hAnsi="Arial" w:eastAsia="Arial"/>
          <w:b w:val="1"/>
          <w:bCs w:val="1"/>
        </w:rPr>
      </w:pPr>
      <w:r>
        <w:rPr>
          <w:rStyle w:val="None"/>
          <w:rFonts w:ascii="Arial" w:hAnsi="Arial"/>
          <w:b w:val="1"/>
          <w:bCs w:val="1"/>
          <w:rtl w:val="0"/>
          <w:lang w:val="en-US"/>
        </w:rPr>
        <w:t>LOIP Outcome Contribution</w:t>
      </w:r>
    </w:p>
    <w:p>
      <w:pPr>
        <w:pStyle w:val="Body"/>
        <w:rPr>
          <w:rStyle w:val="None"/>
          <w:rFonts w:ascii="Arial" w:cs="Arial" w:hAnsi="Arial" w:eastAsia="Arial"/>
        </w:rPr>
      </w:pPr>
      <w:r>
        <w:rPr>
          <w:rStyle w:val="None"/>
          <w:rFonts w:ascii="Arial" w:hAnsi="Arial"/>
          <w:b w:val="1"/>
          <w:bCs w:val="1"/>
          <w:rtl w:val="0"/>
          <w:lang w:val="en-US"/>
        </w:rPr>
        <w:t xml:space="preserve">LOIP Outcome 5: </w:t>
      </w:r>
      <w:r>
        <w:rPr>
          <w:rStyle w:val="None"/>
          <w:rFonts w:ascii="Arial" w:hAnsi="Arial"/>
          <w:rtl w:val="0"/>
          <w:lang w:val="en-US"/>
        </w:rPr>
        <w:t>Grow and maximise the potential of the working age population to help increase employability</w:t>
      </w:r>
    </w:p>
    <w:p>
      <w:pPr>
        <w:pStyle w:val="Body"/>
        <w:rPr>
          <w:rStyle w:val="None"/>
          <w:rFonts w:ascii="Arial" w:cs="Arial" w:hAnsi="Arial" w:eastAsia="Arial"/>
          <w:b w:val="1"/>
          <w:bCs w:val="1"/>
          <w:outline w:val="0"/>
          <w:color w:val="000000"/>
          <w:u w:color="000000"/>
          <w14:textFill>
            <w14:solidFill>
              <w14:srgbClr w14:val="000000"/>
            </w14:solidFill>
          </w14:textFill>
        </w:rPr>
      </w:pPr>
      <w:r>
        <w:rPr>
          <w:rStyle w:val="None"/>
          <w:rFonts w:ascii="Arial" w:hAnsi="Arial"/>
          <w:b w:val="1"/>
          <w:bCs w:val="1"/>
          <w:rtl w:val="0"/>
          <w:lang w:val="en-US"/>
        </w:rPr>
        <w:t>LOIP Outcome 7</w:t>
      </w:r>
      <w:r>
        <w:rPr>
          <w:rStyle w:val="None"/>
          <w:rFonts w:ascii="Arial" w:hAnsi="Arial"/>
          <w:rtl w:val="0"/>
        </w:rPr>
        <w:t>:</w:t>
      </w:r>
      <w:r>
        <w:rPr>
          <w:rStyle w:val="None"/>
          <w:rFonts w:ascii="Arial" w:hAnsi="Arial" w:hint="default"/>
          <w:rtl w:val="0"/>
          <w:lang w:val="en-US"/>
        </w:rPr>
        <w:t> </w:t>
      </w:r>
      <w:r>
        <w:rPr>
          <w:rStyle w:val="None"/>
          <w:rFonts w:ascii="Arial" w:hAnsi="Arial"/>
          <w:rtl w:val="0"/>
          <w:lang w:val="en-US"/>
        </w:rPr>
        <w:t>Increase volunteering opportunities to help develop skills, build capacity and support progression into employability</w:t>
      </w:r>
    </w:p>
    <w:p>
      <w:pPr>
        <w:pStyle w:val="Body"/>
        <w:spacing w:after="0" w:line="240" w:lineRule="auto"/>
        <w:rPr>
          <w:rStyle w:val="None"/>
          <w:rFonts w:ascii="Arial" w:cs="Arial" w:hAnsi="Arial" w:eastAsia="Arial"/>
          <w:b w:val="1"/>
          <w:bCs w:val="1"/>
          <w:outline w:val="0"/>
          <w:color w:val="000000"/>
          <w:u w:color="000000"/>
          <w14:textFill>
            <w14:solidFill>
              <w14:srgbClr w14:val="000000"/>
            </w14:solidFill>
          </w14:textFill>
        </w:rPr>
      </w:pPr>
      <w:r>
        <w:rPr>
          <w:rStyle w:val="None"/>
          <w:rFonts w:ascii="Arial" w:hAnsi="Arial"/>
          <w:b w:val="1"/>
          <w:bCs w:val="1"/>
          <w:outline w:val="0"/>
          <w:color w:val="000000"/>
          <w:u w:color="000000"/>
          <w:rtl w:val="0"/>
          <w:lang w:val="en-US"/>
          <w14:textFill>
            <w14:solidFill>
              <w14:srgbClr w14:val="000000"/>
            </w14:solidFill>
          </w14:textFill>
        </w:rPr>
        <w:t>Background</w:t>
      </w:r>
    </w:p>
    <w:p>
      <w:pPr>
        <w:pStyle w:val="Body"/>
        <w:rPr>
          <w:rStyle w:val="None"/>
          <w:rFonts w:ascii="Arial" w:cs="Arial" w:hAnsi="Arial" w:eastAsia="Arial"/>
          <w:outline w:val="0"/>
          <w:color w:val="000000"/>
          <w:u w:color="000000"/>
          <w14:textFill>
            <w14:solidFill>
              <w14:srgbClr w14:val="000000"/>
            </w14:solidFill>
          </w14:textFill>
        </w:rPr>
      </w:pPr>
      <w:r>
        <w:rPr>
          <w:rStyle w:val="None"/>
          <w:rFonts w:ascii="Arial" w:hAnsi="Arial"/>
          <w:outline w:val="0"/>
          <w:color w:val="000000"/>
          <w:u w:color="000000"/>
          <w:rtl w:val="0"/>
          <w:lang w:val="en-US"/>
          <w14:textFill>
            <w14:solidFill>
              <w14:srgbClr w14:val="000000"/>
            </w14:solidFill>
          </w14:textFill>
        </w:rPr>
        <w:t>Since the launch of the</w:t>
      </w:r>
      <w:r>
        <w:rPr>
          <w:rStyle w:val="None"/>
          <w:rFonts w:ascii="Arial" w:hAnsi="Arial" w:hint="default"/>
          <w:outline w:val="0"/>
          <w:color w:val="000000"/>
          <w:u w:color="000000"/>
          <w:rtl w:val="0"/>
          <w:lang w:val="en-US"/>
          <w14:textFill>
            <w14:solidFill>
              <w14:srgbClr w14:val="000000"/>
            </w14:solidFill>
          </w14:textFill>
        </w:rPr>
        <w:t> </w:t>
      </w:r>
      <w:r>
        <w:rPr>
          <w:rStyle w:val="None"/>
          <w:rFonts w:ascii="Arial" w:hAnsi="Arial"/>
          <w:outline w:val="0"/>
          <w:color w:val="000000"/>
          <w:u w:color="000000"/>
          <w:rtl w:val="0"/>
          <w:lang w:val="en-US"/>
          <w14:textFill>
            <w14:solidFill>
              <w14:srgbClr w14:val="000000"/>
            </w14:solidFill>
          </w14:textFill>
        </w:rPr>
        <w:t>Homes for Ukraine Scheme</w:t>
      </w:r>
      <w:r>
        <w:rPr>
          <w:rStyle w:val="None"/>
          <w:rFonts w:ascii="Arial" w:hAnsi="Arial" w:hint="default"/>
          <w:outline w:val="0"/>
          <w:color w:val="000000"/>
          <w:u w:color="000000"/>
          <w:rtl w:val="0"/>
          <w:lang w:val="en-US"/>
          <w14:textFill>
            <w14:solidFill>
              <w14:srgbClr w14:val="000000"/>
            </w14:solidFill>
          </w14:textFill>
        </w:rPr>
        <w:t> </w:t>
      </w:r>
      <w:r>
        <w:rPr>
          <w:rStyle w:val="None"/>
          <w:rFonts w:ascii="Arial" w:hAnsi="Arial"/>
          <w:outline w:val="0"/>
          <w:color w:val="000000"/>
          <w:u w:color="000000"/>
          <w:rtl w:val="0"/>
          <w:lang w:val="en-US"/>
          <w14:textFill>
            <w14:solidFill>
              <w14:srgbClr w14:val="000000"/>
            </w14:solidFill>
          </w14:textFill>
        </w:rPr>
        <w:t>in March 2022,</w:t>
      </w:r>
      <w:r>
        <w:rPr>
          <w:rStyle w:val="None"/>
          <w:rFonts w:ascii="Arial" w:hAnsi="Arial" w:hint="default"/>
          <w:outline w:val="0"/>
          <w:color w:val="000000"/>
          <w:u w:color="000000"/>
          <w:rtl w:val="0"/>
          <w:lang w:val="en-US"/>
          <w14:textFill>
            <w14:solidFill>
              <w14:srgbClr w14:val="000000"/>
            </w14:solidFill>
          </w14:textFill>
        </w:rPr>
        <w:t> </w:t>
      </w:r>
      <w:r>
        <w:rPr>
          <w:rStyle w:val="None"/>
          <w:rFonts w:ascii="Arial" w:hAnsi="Arial"/>
          <w:outline w:val="0"/>
          <w:color w:val="000000"/>
          <w:u w:color="000000"/>
          <w:rtl w:val="0"/>
          <w:lang w:val="en-US"/>
          <w14:textFill>
            <w14:solidFill>
              <w14:srgbClr w14:val="000000"/>
            </w14:solidFill>
          </w14:textFill>
        </w:rPr>
        <w:t>759 Ukrainian guests</w:t>
      </w:r>
      <w:r>
        <w:rPr>
          <w:rStyle w:val="None"/>
          <w:rFonts w:ascii="Arial" w:hAnsi="Arial" w:hint="default"/>
          <w:outline w:val="0"/>
          <w:color w:val="000000"/>
          <w:u w:color="000000"/>
          <w:rtl w:val="0"/>
          <w:lang w:val="en-US"/>
          <w14:textFill>
            <w14:solidFill>
              <w14:srgbClr w14:val="000000"/>
            </w14:solidFill>
          </w14:textFill>
        </w:rPr>
        <w:t> </w:t>
      </w:r>
      <w:r>
        <w:rPr>
          <w:rStyle w:val="None"/>
          <w:rFonts w:ascii="Arial" w:hAnsi="Arial"/>
          <w:outline w:val="0"/>
          <w:color w:val="000000"/>
          <w:u w:color="000000"/>
          <w:rtl w:val="0"/>
          <w:lang w:val="en-US"/>
          <w14:textFill>
            <w14:solidFill>
              <w14:srgbClr w14:val="000000"/>
            </w14:solidFill>
          </w14:textFill>
        </w:rPr>
        <w:t>have been welcomed into Dumfries and Galloway. The</w:t>
      </w:r>
      <w:r>
        <w:rPr>
          <w:rStyle w:val="None"/>
          <w:rFonts w:ascii="Arial" w:hAnsi="Arial" w:hint="default"/>
          <w:outline w:val="0"/>
          <w:color w:val="000000"/>
          <w:u w:color="000000"/>
          <w:rtl w:val="0"/>
          <w:lang w:val="en-US"/>
          <w14:textFill>
            <w14:solidFill>
              <w14:srgbClr w14:val="000000"/>
            </w14:solidFill>
          </w14:textFill>
        </w:rPr>
        <w:t> </w:t>
      </w:r>
      <w:r>
        <w:rPr>
          <w:rStyle w:val="None"/>
          <w:rFonts w:ascii="Arial" w:hAnsi="Arial"/>
          <w:outline w:val="0"/>
          <w:color w:val="000000"/>
          <w:u w:color="000000"/>
          <w:rtl w:val="0"/>
          <w:lang w:val="en-US"/>
          <w14:textFill>
            <w14:solidFill>
              <w14:srgbClr w14:val="000000"/>
            </w14:solidFill>
          </w14:textFill>
        </w:rPr>
        <w:t>Lifelong Learning Service, in partnership with the</w:t>
      </w:r>
      <w:r>
        <w:rPr>
          <w:rStyle w:val="None"/>
          <w:rFonts w:ascii="Arial" w:hAnsi="Arial" w:hint="default"/>
          <w:outline w:val="0"/>
          <w:color w:val="000000"/>
          <w:u w:color="000000"/>
          <w:rtl w:val="0"/>
          <w:lang w:val="en-US"/>
          <w14:textFill>
            <w14:solidFill>
              <w14:srgbClr w14:val="000000"/>
            </w14:solidFill>
          </w14:textFill>
        </w:rPr>
        <w:t> </w:t>
      </w:r>
      <w:r>
        <w:rPr>
          <w:rStyle w:val="None"/>
          <w:rFonts w:ascii="Arial" w:hAnsi="Arial"/>
          <w:outline w:val="0"/>
          <w:color w:val="000000"/>
          <w:u w:color="000000"/>
          <w:rtl w:val="0"/>
          <w:lang w:val="en-US"/>
          <w14:textFill>
            <w14:solidFill>
              <w14:srgbClr w14:val="000000"/>
            </w14:solidFill>
          </w14:textFill>
        </w:rPr>
        <w:t>Dumfries and Galloway Resettlement Board, has played a key role in supporting these individuals through</w:t>
      </w:r>
      <w:r>
        <w:rPr>
          <w:rStyle w:val="None"/>
          <w:rFonts w:ascii="Arial" w:hAnsi="Arial" w:hint="default"/>
          <w:outline w:val="0"/>
          <w:color w:val="000000"/>
          <w:u w:color="000000"/>
          <w:rtl w:val="0"/>
          <w:lang w:val="en-US"/>
          <w14:textFill>
            <w14:solidFill>
              <w14:srgbClr w14:val="000000"/>
            </w14:solidFill>
          </w14:textFill>
        </w:rPr>
        <w:t> </w:t>
      </w:r>
      <w:r>
        <w:rPr>
          <w:rStyle w:val="None"/>
          <w:rFonts w:ascii="Arial" w:hAnsi="Arial"/>
          <w:outline w:val="0"/>
          <w:color w:val="000000"/>
          <w:u w:color="000000"/>
          <w:rtl w:val="0"/>
          <w:lang w:val="en-US"/>
          <w14:textFill>
            <w14:solidFill>
              <w14:srgbClr w14:val="000000"/>
            </w14:solidFill>
          </w14:textFill>
        </w:rPr>
        <w:t>ESOL (English for Speakers of Other Languages)</w:t>
      </w:r>
      <w:r>
        <w:rPr>
          <w:rStyle w:val="None"/>
          <w:rFonts w:ascii="Arial" w:hAnsi="Arial" w:hint="default"/>
          <w:outline w:val="0"/>
          <w:color w:val="000000"/>
          <w:u w:color="000000"/>
          <w:rtl w:val="0"/>
          <w:lang w:val="en-US"/>
          <w14:textFill>
            <w14:solidFill>
              <w14:srgbClr w14:val="000000"/>
            </w14:solidFill>
          </w14:textFill>
        </w:rPr>
        <w:t> </w:t>
      </w:r>
      <w:r>
        <w:rPr>
          <w:rStyle w:val="None"/>
          <w:rFonts w:ascii="Arial" w:hAnsi="Arial"/>
          <w:outline w:val="0"/>
          <w:color w:val="000000"/>
          <w:u w:color="000000"/>
          <w:rtl w:val="0"/>
          <w:lang w:val="en-US"/>
          <w14:textFill>
            <w14:solidFill>
              <w14:srgbClr w14:val="000000"/>
            </w14:solidFill>
          </w14:textFill>
        </w:rPr>
        <w:t>and other adult learning opportunities.</w:t>
      </w:r>
    </w:p>
    <w:p>
      <w:pPr>
        <w:pStyle w:val="Body"/>
        <w:spacing w:after="0" w:line="240" w:lineRule="auto"/>
        <w:rPr>
          <w:rStyle w:val="None"/>
          <w:rFonts w:ascii="Arial" w:cs="Arial" w:hAnsi="Arial" w:eastAsia="Arial"/>
          <w:b w:val="1"/>
          <w:bCs w:val="1"/>
          <w:outline w:val="0"/>
          <w:color w:val="000000"/>
          <w:u w:color="000000"/>
          <w14:textFill>
            <w14:solidFill>
              <w14:srgbClr w14:val="000000"/>
            </w14:solidFill>
          </w14:textFill>
        </w:rPr>
      </w:pPr>
      <w:r>
        <w:rPr>
          <w:rStyle w:val="None"/>
          <w:rFonts w:ascii="Arial" w:hAnsi="Arial"/>
          <w:b w:val="1"/>
          <w:bCs w:val="1"/>
          <w:outline w:val="0"/>
          <w:color w:val="000000"/>
          <w:u w:color="000000"/>
          <w:rtl w:val="0"/>
          <w:lang w:val="en-US"/>
          <w14:textFill>
            <w14:solidFill>
              <w14:srgbClr w14:val="000000"/>
            </w14:solidFill>
          </w14:textFill>
        </w:rPr>
        <w:t>Project Overview</w:t>
      </w:r>
    </w:p>
    <w:p>
      <w:pPr>
        <w:pStyle w:val="Body"/>
        <w:rPr>
          <w:rStyle w:val="None"/>
          <w:rFonts w:ascii="Arial" w:cs="Arial" w:hAnsi="Arial" w:eastAsia="Arial"/>
          <w:outline w:val="0"/>
          <w:color w:val="000000"/>
          <w:u w:color="000000"/>
          <w14:textFill>
            <w14:solidFill>
              <w14:srgbClr w14:val="000000"/>
            </w14:solidFill>
          </w14:textFill>
        </w:rPr>
      </w:pPr>
      <w:r>
        <w:rPr>
          <w:rStyle w:val="None"/>
          <w:rFonts w:ascii="Arial" w:hAnsi="Arial"/>
          <w:outline w:val="0"/>
          <w:color w:val="000000"/>
          <w:u w:color="000000"/>
          <w:rtl w:val="0"/>
          <w:lang w:val="en-US"/>
          <w14:textFill>
            <w14:solidFill>
              <w14:srgbClr w14:val="000000"/>
            </w14:solidFill>
          </w14:textFill>
        </w:rPr>
        <w:t>To support integration, a structured ESOL learning pathway was developed in collaboration with</w:t>
      </w:r>
      <w:r>
        <w:rPr>
          <w:rStyle w:val="None"/>
          <w:rFonts w:ascii="Arial" w:hAnsi="Arial" w:hint="default"/>
          <w:outline w:val="0"/>
          <w:color w:val="000000"/>
          <w:u w:color="000000"/>
          <w:rtl w:val="0"/>
          <w:lang w:val="en-US"/>
          <w14:textFill>
            <w14:solidFill>
              <w14:srgbClr w14:val="000000"/>
            </w14:solidFill>
          </w14:textFill>
        </w:rPr>
        <w:t> </w:t>
      </w:r>
      <w:r>
        <w:rPr>
          <w:rStyle w:val="None"/>
          <w:rFonts w:ascii="Arial" w:hAnsi="Arial"/>
          <w:outline w:val="0"/>
          <w:color w:val="000000"/>
          <w:u w:color="000000"/>
          <w:rtl w:val="0"/>
          <w:lang w:val="en-US"/>
          <w14:textFill>
            <w14:solidFill>
              <w14:srgbClr w14:val="000000"/>
            </w14:solidFill>
          </w14:textFill>
        </w:rPr>
        <w:t>Dumfries and Galloway College. The programme also included courses in</w:t>
      </w:r>
      <w:r>
        <w:rPr>
          <w:rStyle w:val="None"/>
          <w:rFonts w:ascii="Arial" w:hAnsi="Arial" w:hint="default"/>
          <w:outline w:val="0"/>
          <w:color w:val="000000"/>
          <w:u w:color="000000"/>
          <w:rtl w:val="0"/>
          <w:lang w:val="en-US"/>
          <w14:textFill>
            <w14:solidFill>
              <w14:srgbClr w14:val="000000"/>
            </w14:solidFill>
          </w14:textFill>
        </w:rPr>
        <w:t> </w:t>
      </w:r>
      <w:r>
        <w:rPr>
          <w:rStyle w:val="None"/>
          <w:rFonts w:ascii="Arial" w:hAnsi="Arial"/>
          <w:outline w:val="0"/>
          <w:color w:val="000000"/>
          <w:u w:color="000000"/>
          <w:rtl w:val="0"/>
          <w:lang w:val="en-US"/>
          <w14:textFill>
            <w14:solidFill>
              <w14:srgbClr w14:val="000000"/>
            </w14:solidFill>
          </w14:textFill>
        </w:rPr>
        <w:t>creative writing, driving theory, digital skills (ICDL), and</w:t>
      </w:r>
      <w:r>
        <w:rPr>
          <w:rStyle w:val="None"/>
          <w:rFonts w:ascii="Arial" w:hAnsi="Arial" w:hint="default"/>
          <w:outline w:val="0"/>
          <w:color w:val="000000"/>
          <w:u w:color="000000"/>
          <w:rtl w:val="0"/>
          <w:lang w:val="en-US"/>
          <w14:textFill>
            <w14:solidFill>
              <w14:srgbClr w14:val="000000"/>
            </w14:solidFill>
          </w14:textFill>
        </w:rPr>
        <w:t> </w:t>
      </w:r>
      <w:r>
        <w:rPr>
          <w:rStyle w:val="None"/>
          <w:rFonts w:ascii="Arial" w:hAnsi="Arial"/>
          <w:outline w:val="0"/>
          <w:color w:val="000000"/>
          <w:u w:color="000000"/>
          <w:rtl w:val="0"/>
          <w:lang w:val="en-US"/>
          <w14:textFill>
            <w14:solidFill>
              <w14:srgbClr w14:val="000000"/>
            </w14:solidFill>
          </w14:textFill>
        </w:rPr>
        <w:t>volunteering/job readiness, helping learners build confidence and practical skills for life and work in the region.</w:t>
      </w:r>
    </w:p>
    <w:p>
      <w:pPr>
        <w:pStyle w:val="Body"/>
        <w:spacing w:after="0" w:line="240" w:lineRule="auto"/>
        <w:rPr>
          <w:rStyle w:val="None"/>
          <w:rFonts w:ascii="Arial" w:cs="Arial" w:hAnsi="Arial" w:eastAsia="Arial"/>
          <w:b w:val="1"/>
          <w:bCs w:val="1"/>
          <w:outline w:val="0"/>
          <w:color w:val="000000"/>
          <w:u w:color="000000"/>
          <w14:textFill>
            <w14:solidFill>
              <w14:srgbClr w14:val="000000"/>
            </w14:solidFill>
          </w14:textFill>
        </w:rPr>
      </w:pPr>
    </w:p>
    <w:p>
      <w:pPr>
        <w:pStyle w:val="Body"/>
        <w:spacing w:after="0" w:line="240" w:lineRule="auto"/>
        <w:rPr>
          <w:rStyle w:val="None"/>
          <w:rFonts w:ascii="Arial" w:cs="Arial" w:hAnsi="Arial" w:eastAsia="Arial"/>
          <w:b w:val="1"/>
          <w:bCs w:val="1"/>
          <w:outline w:val="0"/>
          <w:color w:val="000000"/>
          <w:u w:color="000000"/>
          <w14:textFill>
            <w14:solidFill>
              <w14:srgbClr w14:val="000000"/>
            </w14:solidFill>
          </w14:textFill>
        </w:rPr>
      </w:pPr>
    </w:p>
    <w:p>
      <w:pPr>
        <w:pStyle w:val="Body"/>
        <w:spacing w:after="0" w:line="240" w:lineRule="auto"/>
        <w:rPr>
          <w:rStyle w:val="None"/>
          <w:rFonts w:ascii="Arial" w:cs="Arial" w:hAnsi="Arial" w:eastAsia="Arial"/>
          <w:b w:val="1"/>
          <w:bCs w:val="1"/>
          <w:outline w:val="0"/>
          <w:color w:val="000000"/>
          <w:u w:color="000000"/>
          <w14:textFill>
            <w14:solidFill>
              <w14:srgbClr w14:val="000000"/>
            </w14:solidFill>
          </w14:textFill>
        </w:rPr>
      </w:pPr>
    </w:p>
    <w:p>
      <w:pPr>
        <w:pStyle w:val="Body"/>
        <w:spacing w:after="0" w:line="240" w:lineRule="auto"/>
        <w:rPr>
          <w:rStyle w:val="None"/>
          <w:rFonts w:ascii="Arial" w:cs="Arial" w:hAnsi="Arial" w:eastAsia="Arial"/>
          <w:b w:val="1"/>
          <w:bCs w:val="1"/>
          <w:outline w:val="0"/>
          <w:color w:val="000000"/>
          <w:u w:color="000000"/>
          <w14:textFill>
            <w14:solidFill>
              <w14:srgbClr w14:val="000000"/>
            </w14:solidFill>
          </w14:textFill>
        </w:rPr>
      </w:pPr>
    </w:p>
    <w:p>
      <w:pPr>
        <w:pStyle w:val="Body"/>
        <w:spacing w:after="0" w:line="240" w:lineRule="auto"/>
        <w:rPr>
          <w:rStyle w:val="None"/>
          <w:rFonts w:ascii="Arial" w:cs="Arial" w:hAnsi="Arial" w:eastAsia="Arial"/>
          <w:b w:val="1"/>
          <w:bCs w:val="1"/>
          <w:outline w:val="0"/>
          <w:color w:val="000000"/>
          <w:u w:color="000000"/>
          <w14:textFill>
            <w14:solidFill>
              <w14:srgbClr w14:val="000000"/>
            </w14:solidFill>
          </w14:textFill>
        </w:rPr>
      </w:pPr>
    </w:p>
    <w:p>
      <w:pPr>
        <w:pStyle w:val="Body"/>
        <w:spacing w:after="0" w:line="240" w:lineRule="auto"/>
        <w:rPr>
          <w:rStyle w:val="None"/>
          <w:rFonts w:ascii="Arial" w:cs="Arial" w:hAnsi="Arial" w:eastAsia="Arial"/>
          <w:b w:val="1"/>
          <w:bCs w:val="1"/>
          <w:outline w:val="0"/>
          <w:color w:val="000000"/>
          <w:u w:color="000000"/>
          <w14:textFill>
            <w14:solidFill>
              <w14:srgbClr w14:val="000000"/>
            </w14:solidFill>
          </w14:textFill>
        </w:rPr>
      </w:pPr>
    </w:p>
    <w:p>
      <w:pPr>
        <w:pStyle w:val="Body"/>
        <w:spacing w:after="0" w:line="240" w:lineRule="auto"/>
        <w:rPr>
          <w:rStyle w:val="None"/>
          <w:rFonts w:ascii="Arial" w:cs="Arial" w:hAnsi="Arial" w:eastAsia="Arial"/>
          <w:b w:val="1"/>
          <w:bCs w:val="1"/>
          <w:outline w:val="0"/>
          <w:color w:val="000000"/>
          <w:u w:color="000000"/>
          <w14:textFill>
            <w14:solidFill>
              <w14:srgbClr w14:val="000000"/>
            </w14:solidFill>
          </w14:textFill>
        </w:rPr>
      </w:pPr>
    </w:p>
    <w:p>
      <w:pPr>
        <w:pStyle w:val="Body"/>
        <w:spacing w:after="0" w:line="240" w:lineRule="auto"/>
        <w:rPr>
          <w:rStyle w:val="None"/>
          <w:rFonts w:ascii="Arial" w:cs="Arial" w:hAnsi="Arial" w:eastAsia="Arial"/>
          <w:b w:val="1"/>
          <w:bCs w:val="1"/>
          <w:outline w:val="0"/>
          <w:color w:val="000000"/>
          <w:u w:color="000000"/>
          <w14:textFill>
            <w14:solidFill>
              <w14:srgbClr w14:val="000000"/>
            </w14:solidFill>
          </w14:textFill>
        </w:rPr>
      </w:pPr>
    </w:p>
    <w:p>
      <w:pPr>
        <w:pStyle w:val="Body"/>
        <w:spacing w:after="0" w:line="240" w:lineRule="auto"/>
        <w:rPr>
          <w:rStyle w:val="None"/>
          <w:rFonts w:ascii="Arial" w:cs="Arial" w:hAnsi="Arial" w:eastAsia="Arial"/>
          <w:b w:val="1"/>
          <w:bCs w:val="1"/>
          <w:outline w:val="0"/>
          <w:color w:val="000000"/>
          <w:u w:color="000000"/>
          <w14:textFill>
            <w14:solidFill>
              <w14:srgbClr w14:val="000000"/>
            </w14:solidFill>
          </w14:textFill>
        </w:rPr>
      </w:pPr>
    </w:p>
    <w:p>
      <w:pPr>
        <w:pStyle w:val="Body"/>
        <w:spacing w:after="0" w:line="240" w:lineRule="auto"/>
        <w:rPr>
          <w:rStyle w:val="None"/>
          <w:rFonts w:ascii="Arial" w:cs="Arial" w:hAnsi="Arial" w:eastAsia="Arial"/>
          <w:b w:val="1"/>
          <w:bCs w:val="1"/>
          <w:outline w:val="0"/>
          <w:color w:val="000000"/>
          <w:u w:color="000000"/>
          <w14:textFill>
            <w14:solidFill>
              <w14:srgbClr w14:val="000000"/>
            </w14:solidFill>
          </w14:textFill>
        </w:rPr>
      </w:pPr>
    </w:p>
    <w:p>
      <w:pPr>
        <w:pStyle w:val="Body"/>
        <w:spacing w:after="0" w:line="240" w:lineRule="auto"/>
        <w:rPr>
          <w:rStyle w:val="None"/>
          <w:rFonts w:ascii="Arial" w:cs="Arial" w:hAnsi="Arial" w:eastAsia="Arial"/>
          <w:b w:val="1"/>
          <w:bCs w:val="1"/>
          <w:outline w:val="0"/>
          <w:color w:val="000000"/>
          <w:u w:color="000000"/>
          <w14:textFill>
            <w14:solidFill>
              <w14:srgbClr w14:val="000000"/>
            </w14:solidFill>
          </w14:textFill>
        </w:rPr>
      </w:pPr>
    </w:p>
    <w:p>
      <w:pPr>
        <w:pStyle w:val="Body"/>
        <w:spacing w:after="0" w:line="240" w:lineRule="auto"/>
        <w:rPr>
          <w:rStyle w:val="None"/>
          <w:rFonts w:ascii="Arial" w:cs="Arial" w:hAnsi="Arial" w:eastAsia="Arial"/>
          <w:b w:val="1"/>
          <w:bCs w:val="1"/>
          <w:outline w:val="0"/>
          <w:color w:val="000000"/>
          <w:u w:color="000000"/>
          <w14:textFill>
            <w14:solidFill>
              <w14:srgbClr w14:val="000000"/>
            </w14:solidFill>
          </w14:textFill>
        </w:rPr>
      </w:pPr>
    </w:p>
    <w:p>
      <w:pPr>
        <w:pStyle w:val="Body"/>
        <w:spacing w:after="0" w:line="240" w:lineRule="auto"/>
        <w:rPr>
          <w:rStyle w:val="None"/>
          <w:rFonts w:ascii="Arial" w:cs="Arial" w:hAnsi="Arial" w:eastAsia="Arial"/>
          <w:b w:val="1"/>
          <w:bCs w:val="1"/>
          <w:outline w:val="0"/>
          <w:color w:val="000000"/>
          <w:u w:color="000000"/>
          <w14:textFill>
            <w14:solidFill>
              <w14:srgbClr w14:val="000000"/>
            </w14:solidFill>
          </w14:textFill>
        </w:rPr>
      </w:pPr>
      <w:r>
        <w:rPr>
          <w:rStyle w:val="None"/>
          <w:rFonts w:ascii="Arial" w:hAnsi="Arial"/>
          <w:b w:val="1"/>
          <w:bCs w:val="1"/>
          <w:outline w:val="0"/>
          <w:color w:val="000000"/>
          <w:u w:color="000000"/>
          <w:rtl w:val="0"/>
          <w14:textFill>
            <w14:solidFill>
              <w14:srgbClr w14:val="000000"/>
            </w14:solidFill>
          </w14:textFill>
        </w:rPr>
        <w:t>Case Study Focus: Olha Chesnova</w:t>
      </w:r>
    </w:p>
    <w:p>
      <w:pPr>
        <w:pStyle w:val="Body"/>
        <w:spacing w:after="0"/>
        <w:rPr>
          <w:rStyle w:val="None"/>
          <w:rFonts w:ascii="Arial" w:cs="Arial" w:hAnsi="Arial" w:eastAsia="Arial"/>
          <w:outline w:val="0"/>
          <w:color w:val="000000"/>
          <w:u w:color="000000"/>
          <w14:textFill>
            <w14:solidFill>
              <w14:srgbClr w14:val="000000"/>
            </w14:solidFill>
          </w14:textFill>
        </w:rPr>
      </w:pPr>
    </w:p>
    <w:tbl>
      <w:tblPr>
        <w:tblW w:w="1394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1d7"/>
        <w:tblLayout w:type="fixed"/>
      </w:tblPr>
      <w:tblGrid>
        <w:gridCol w:w="6974"/>
        <w:gridCol w:w="6974"/>
      </w:tblGrid>
      <w:tr>
        <w:tblPrEx>
          <w:shd w:val="clear" w:color="auto" w:fill="cad1d7"/>
        </w:tblPrEx>
        <w:trPr>
          <w:trHeight w:val="8411" w:hRule="atLeast"/>
        </w:trPr>
        <w:tc>
          <w:tcPr>
            <w:tcW w:type="dxa" w:w="69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rStyle w:val="None"/>
                <w:rFonts w:ascii="Arial" w:cs="Arial" w:hAnsi="Arial" w:eastAsia="Arial"/>
                <w:shd w:val="nil" w:color="auto" w:fill="auto"/>
              </w:rPr>
            </w:pPr>
            <w:r>
              <w:rPr>
                <w:rStyle w:val="None"/>
                <w:rFonts w:ascii="Arial" w:hAnsi="Arial"/>
                <w:shd w:val="nil" w:color="auto" w:fill="auto"/>
                <w:rtl w:val="0"/>
                <w:lang w:val="en-US"/>
              </w:rPr>
              <w:t>Olha arrived in Dumfries and Galloway in 2023 with limited English and low confidence in her digital and professional skills. She enrolled in multiple courses, including:</w:t>
            </w:r>
          </w:p>
          <w:p>
            <w:pPr>
              <w:pStyle w:val="Body"/>
              <w:numPr>
                <w:ilvl w:val="0"/>
                <w:numId w:val="52"/>
              </w:numPr>
              <w:bidi w:val="0"/>
              <w:spacing w:after="0" w:line="240" w:lineRule="auto"/>
              <w:ind w:right="0"/>
              <w:jc w:val="left"/>
              <w:rPr>
                <w:rFonts w:ascii="Arial" w:hAnsi="Arial"/>
                <w:rtl w:val="0"/>
                <w:lang w:val="en-US"/>
              </w:rPr>
            </w:pPr>
            <w:r>
              <w:rPr>
                <w:rStyle w:val="None"/>
                <w:rFonts w:ascii="Arial" w:hAnsi="Arial"/>
                <w:shd w:val="nil" w:color="auto" w:fill="auto"/>
                <w:rtl w:val="0"/>
                <w:lang w:val="en-US"/>
              </w:rPr>
              <w:t>ESOL Speaking</w:t>
            </w:r>
          </w:p>
          <w:p>
            <w:pPr>
              <w:pStyle w:val="Body"/>
              <w:numPr>
                <w:ilvl w:val="0"/>
                <w:numId w:val="52"/>
              </w:numPr>
              <w:bidi w:val="0"/>
              <w:spacing w:after="0" w:line="240" w:lineRule="auto"/>
              <w:ind w:right="0"/>
              <w:jc w:val="left"/>
              <w:rPr>
                <w:rFonts w:ascii="Arial" w:hAnsi="Arial"/>
                <w:rtl w:val="0"/>
                <w:lang w:val="en-US"/>
              </w:rPr>
            </w:pPr>
            <w:r>
              <w:rPr>
                <w:rStyle w:val="None"/>
                <w:rFonts w:ascii="Arial" w:hAnsi="Arial"/>
                <w:shd w:val="nil" w:color="auto" w:fill="auto"/>
                <w:rtl w:val="0"/>
                <w:lang w:val="en-US"/>
              </w:rPr>
              <w:t>IELTS Preparation</w:t>
            </w:r>
          </w:p>
          <w:p>
            <w:pPr>
              <w:pStyle w:val="Body"/>
              <w:numPr>
                <w:ilvl w:val="0"/>
                <w:numId w:val="52"/>
              </w:numPr>
              <w:bidi w:val="0"/>
              <w:spacing w:after="0" w:line="240" w:lineRule="auto"/>
              <w:ind w:right="0"/>
              <w:jc w:val="left"/>
              <w:rPr>
                <w:rFonts w:ascii="Arial" w:hAnsi="Arial"/>
                <w:rtl w:val="0"/>
                <w:lang w:val="en-US"/>
              </w:rPr>
            </w:pPr>
            <w:r>
              <w:rPr>
                <w:rStyle w:val="None"/>
                <w:rFonts w:ascii="Arial" w:hAnsi="Arial"/>
                <w:shd w:val="nil" w:color="auto" w:fill="auto"/>
                <w:rtl w:val="0"/>
                <w:lang w:val="en-US"/>
              </w:rPr>
              <w:t>Creative Writing</w:t>
            </w:r>
          </w:p>
          <w:p>
            <w:pPr>
              <w:pStyle w:val="Body"/>
              <w:numPr>
                <w:ilvl w:val="0"/>
                <w:numId w:val="52"/>
              </w:numPr>
              <w:bidi w:val="0"/>
              <w:spacing w:after="0" w:line="240" w:lineRule="auto"/>
              <w:ind w:right="0"/>
              <w:jc w:val="left"/>
              <w:rPr>
                <w:rFonts w:ascii="Arial" w:hAnsi="Arial"/>
                <w:rtl w:val="0"/>
                <w:lang w:val="en-US"/>
              </w:rPr>
            </w:pPr>
            <w:r>
              <w:rPr>
                <w:rStyle w:val="None"/>
                <w:rFonts w:ascii="Arial" w:hAnsi="Arial"/>
                <w:shd w:val="nil" w:color="auto" w:fill="auto"/>
                <w:rtl w:val="0"/>
                <w:lang w:val="en-US"/>
              </w:rPr>
              <w:t>Driving Theory</w:t>
            </w:r>
          </w:p>
          <w:p>
            <w:pPr>
              <w:pStyle w:val="Body"/>
              <w:numPr>
                <w:ilvl w:val="0"/>
                <w:numId w:val="52"/>
              </w:numPr>
              <w:bidi w:val="0"/>
              <w:spacing w:after="0" w:line="240" w:lineRule="auto"/>
              <w:ind w:right="0"/>
              <w:jc w:val="left"/>
              <w:rPr>
                <w:rFonts w:ascii="Arial" w:hAnsi="Arial"/>
                <w:rtl w:val="0"/>
                <w:lang w:val="en-US"/>
              </w:rPr>
            </w:pPr>
            <w:r>
              <w:rPr>
                <w:rStyle w:val="None"/>
                <w:rFonts w:ascii="Arial" w:hAnsi="Arial"/>
                <w:shd w:val="nil" w:color="auto" w:fill="auto"/>
                <w:rtl w:val="0"/>
                <w:lang w:val="en-US"/>
              </w:rPr>
              <w:t>ICDL (Computer Skills)</w:t>
            </w:r>
          </w:p>
          <w:p>
            <w:pPr>
              <w:pStyle w:val="Body"/>
              <w:spacing w:after="0" w:line="240" w:lineRule="auto"/>
              <w:rPr>
                <w:rStyle w:val="None"/>
                <w:rFonts w:ascii="Arial" w:cs="Arial" w:hAnsi="Arial" w:eastAsia="Arial"/>
                <w:shd w:val="nil" w:color="auto" w:fill="auto"/>
                <w:lang w:val="en-US"/>
              </w:rPr>
            </w:pPr>
          </w:p>
          <w:p>
            <w:pPr>
              <w:pStyle w:val="Body"/>
              <w:bidi w:val="0"/>
              <w:spacing w:after="0" w:line="240" w:lineRule="auto"/>
              <w:ind w:left="0" w:right="0" w:firstLine="0"/>
              <w:jc w:val="left"/>
              <w:rPr>
                <w:rStyle w:val="None"/>
                <w:rFonts w:ascii="Arial" w:cs="Arial" w:hAnsi="Arial" w:eastAsia="Arial"/>
                <w:shd w:val="nil" w:color="auto" w:fill="auto"/>
                <w:rtl w:val="0"/>
              </w:rPr>
            </w:pPr>
            <w:r>
              <w:rPr>
                <w:rStyle w:val="None"/>
                <w:rFonts w:ascii="Arial" w:hAnsi="Arial"/>
                <w:shd w:val="nil" w:color="auto" w:fill="auto"/>
                <w:rtl w:val="0"/>
                <w:lang w:val="en-US"/>
              </w:rPr>
              <w:t>Through regular attendance and active participation, Olha significantly improved her English, digital literacy, and confidence. Her learning journey led to:</w:t>
            </w:r>
          </w:p>
          <w:p>
            <w:pPr>
              <w:pStyle w:val="Body"/>
              <w:numPr>
                <w:ilvl w:val="0"/>
                <w:numId w:val="53"/>
              </w:numPr>
              <w:bidi w:val="0"/>
              <w:spacing w:after="0" w:line="240" w:lineRule="auto"/>
              <w:ind w:right="0"/>
              <w:jc w:val="left"/>
              <w:rPr>
                <w:rFonts w:ascii="Arial" w:hAnsi="Arial"/>
                <w:rtl w:val="0"/>
                <w:lang w:val="en-US"/>
              </w:rPr>
            </w:pPr>
            <w:r>
              <w:rPr>
                <w:rStyle w:val="None"/>
                <w:rFonts w:ascii="Arial" w:hAnsi="Arial"/>
                <w:shd w:val="nil" w:color="auto" w:fill="auto"/>
                <w:rtl w:val="0"/>
                <w:lang w:val="en-US"/>
              </w:rPr>
              <w:t>Volunteering opportunities</w:t>
            </w:r>
          </w:p>
          <w:p>
            <w:pPr>
              <w:pStyle w:val="Body"/>
              <w:numPr>
                <w:ilvl w:val="0"/>
                <w:numId w:val="53"/>
              </w:numPr>
              <w:bidi w:val="0"/>
              <w:spacing w:after="0" w:line="240" w:lineRule="auto"/>
              <w:ind w:right="0"/>
              <w:jc w:val="left"/>
              <w:rPr>
                <w:rFonts w:ascii="Arial" w:hAnsi="Arial"/>
                <w:rtl w:val="0"/>
                <w:lang w:val="en-US"/>
              </w:rPr>
            </w:pPr>
            <w:r>
              <w:rPr>
                <w:rStyle w:val="None"/>
                <w:rFonts w:ascii="Arial" w:hAnsi="Arial"/>
                <w:shd w:val="nil" w:color="auto" w:fill="auto"/>
                <w:rtl w:val="0"/>
                <w:lang w:val="en-US"/>
              </w:rPr>
              <w:t>Securing paid employment</w:t>
            </w:r>
          </w:p>
          <w:p>
            <w:pPr>
              <w:pStyle w:val="Body"/>
              <w:numPr>
                <w:ilvl w:val="0"/>
                <w:numId w:val="53"/>
              </w:numPr>
              <w:bidi w:val="0"/>
              <w:spacing w:after="0" w:line="240" w:lineRule="auto"/>
              <w:ind w:right="0"/>
              <w:jc w:val="left"/>
              <w:rPr>
                <w:rFonts w:ascii="Arial" w:hAnsi="Arial"/>
                <w:rtl w:val="0"/>
                <w:lang w:val="en-US"/>
              </w:rPr>
            </w:pPr>
            <w:r>
              <w:rPr>
                <w:rStyle w:val="None"/>
                <w:rFonts w:ascii="Arial" w:hAnsi="Arial"/>
                <w:shd w:val="nil" w:color="auto" w:fill="auto"/>
                <w:rtl w:val="0"/>
                <w:lang w:val="en-US"/>
              </w:rPr>
              <w:t>Achieving economic independence</w:t>
            </w:r>
          </w:p>
          <w:p>
            <w:pPr>
              <w:pStyle w:val="Body"/>
              <w:numPr>
                <w:ilvl w:val="0"/>
                <w:numId w:val="53"/>
              </w:numPr>
              <w:bidi w:val="0"/>
              <w:spacing w:after="0" w:line="240" w:lineRule="auto"/>
              <w:ind w:right="0"/>
              <w:jc w:val="left"/>
              <w:rPr>
                <w:rFonts w:ascii="Arial" w:hAnsi="Arial"/>
                <w:rtl w:val="0"/>
                <w:lang w:val="en-US"/>
              </w:rPr>
            </w:pPr>
            <w:r>
              <w:rPr>
                <w:rStyle w:val="None"/>
                <w:rFonts w:ascii="Arial" w:hAnsi="Arial"/>
                <w:shd w:val="nil" w:color="auto" w:fill="auto"/>
                <w:rtl w:val="0"/>
                <w:lang w:val="en-US"/>
              </w:rPr>
              <w:t>Gaining her own tenancy</w:t>
            </w:r>
          </w:p>
          <w:p>
            <w:pPr>
              <w:pStyle w:val="Body"/>
              <w:numPr>
                <w:ilvl w:val="0"/>
                <w:numId w:val="53"/>
              </w:numPr>
              <w:bidi w:val="0"/>
              <w:spacing w:after="0" w:line="240" w:lineRule="auto"/>
              <w:ind w:right="0"/>
              <w:jc w:val="left"/>
              <w:rPr>
                <w:rFonts w:ascii="Arial" w:hAnsi="Arial"/>
                <w:rtl w:val="0"/>
                <w:lang w:val="en-US"/>
              </w:rPr>
            </w:pPr>
            <w:r>
              <w:rPr>
                <w:rStyle w:val="None"/>
                <w:rFonts w:ascii="Arial" w:hAnsi="Arial"/>
                <w:shd w:val="nil" w:color="auto" w:fill="auto"/>
                <w:rtl w:val="0"/>
                <w:lang w:val="en-US"/>
              </w:rPr>
              <w:t>Her son</w:t>
            </w:r>
            <w:r>
              <w:rPr>
                <w:rStyle w:val="None"/>
                <w:rFonts w:ascii="Arial" w:hAnsi="Arial" w:hint="default"/>
                <w:shd w:val="nil" w:color="auto" w:fill="auto"/>
                <w:rtl w:val="0"/>
                <w:lang w:val="en-US"/>
              </w:rPr>
              <w:t>’</w:t>
            </w:r>
            <w:r>
              <w:rPr>
                <w:rStyle w:val="None"/>
                <w:rFonts w:ascii="Arial" w:hAnsi="Arial"/>
                <w:shd w:val="nil" w:color="auto" w:fill="auto"/>
                <w:rtl w:val="0"/>
                <w:lang w:val="en-US"/>
              </w:rPr>
              <w:t>s full integration into a local school</w:t>
            </w:r>
          </w:p>
          <w:p>
            <w:pPr>
              <w:pStyle w:val="Body"/>
              <w:spacing w:after="0" w:line="240" w:lineRule="auto"/>
              <w:rPr>
                <w:rStyle w:val="None"/>
                <w:rFonts w:ascii="Arial" w:cs="Arial" w:hAnsi="Arial" w:eastAsia="Arial"/>
                <w:shd w:val="nil" w:color="auto" w:fill="auto"/>
                <w:lang w:val="en-US"/>
              </w:rPr>
            </w:pPr>
          </w:p>
          <w:p>
            <w:pPr>
              <w:pStyle w:val="Body"/>
              <w:bidi w:val="0"/>
              <w:spacing w:after="0" w:line="240" w:lineRule="auto"/>
              <w:ind w:left="0" w:right="0" w:firstLine="0"/>
              <w:jc w:val="left"/>
              <w:rPr>
                <w:rStyle w:val="None"/>
                <w:rFonts w:ascii="Arial" w:cs="Arial" w:hAnsi="Arial" w:eastAsia="Arial"/>
                <w:shd w:val="nil" w:color="auto" w:fill="auto"/>
                <w:rtl w:val="0"/>
              </w:rPr>
            </w:pPr>
            <w:r>
              <w:rPr>
                <w:rStyle w:val="None"/>
                <w:rFonts w:ascii="Arial" w:hAnsi="Arial"/>
                <w:shd w:val="nil" w:color="auto" w:fill="auto"/>
                <w:rtl w:val="0"/>
                <w:lang w:val="en-US"/>
              </w:rPr>
              <w:t>Olha now contributes to her community not only through work but also by</w:t>
            </w:r>
            <w:r>
              <w:rPr>
                <w:rStyle w:val="None"/>
                <w:rFonts w:ascii="Arial" w:hAnsi="Arial" w:hint="default"/>
                <w:shd w:val="nil" w:color="auto" w:fill="auto"/>
                <w:rtl w:val="0"/>
                <w:lang w:val="en-US"/>
              </w:rPr>
              <w:t> </w:t>
            </w:r>
            <w:r>
              <w:rPr>
                <w:rStyle w:val="None"/>
                <w:rFonts w:ascii="Arial" w:hAnsi="Arial"/>
                <w:shd w:val="nil" w:color="auto" w:fill="auto"/>
                <w:rtl w:val="0"/>
                <w:lang w:val="en-US"/>
              </w:rPr>
              <w:t>volunteering at a local foodbank</w:t>
            </w:r>
            <w:r>
              <w:rPr>
                <w:rStyle w:val="None"/>
                <w:rFonts w:ascii="Arial" w:hAnsi="Arial" w:hint="default"/>
                <w:shd w:val="nil" w:color="auto" w:fill="auto"/>
                <w:rtl w:val="0"/>
                <w:lang w:val="en-US"/>
              </w:rPr>
              <w:t> </w:t>
            </w:r>
            <w:r>
              <w:rPr>
                <w:rStyle w:val="None"/>
                <w:rFonts w:ascii="Arial" w:hAnsi="Arial"/>
                <w:shd w:val="nil" w:color="auto" w:fill="auto"/>
                <w:rtl w:val="0"/>
                <w:lang w:val="en-US"/>
              </w:rPr>
              <w:t>and supporting others on their resettlement journey.</w:t>
            </w:r>
          </w:p>
          <w:p>
            <w:pPr>
              <w:pStyle w:val="Body"/>
              <w:spacing w:after="0" w:line="240" w:lineRule="auto"/>
              <w:rPr>
                <w:rStyle w:val="None"/>
                <w:rFonts w:ascii="Arial" w:cs="Arial" w:hAnsi="Arial" w:eastAsia="Arial"/>
                <w:b w:val="1"/>
                <w:bCs w:val="1"/>
                <w:shd w:val="nil" w:color="auto" w:fill="auto"/>
                <w:lang w:val="en-US"/>
              </w:rPr>
            </w:pPr>
          </w:p>
          <w:p>
            <w:pPr>
              <w:pStyle w:val="Body"/>
              <w:bidi w:val="0"/>
              <w:spacing w:after="0" w:line="240" w:lineRule="auto"/>
              <w:ind w:left="0" w:right="0" w:firstLine="0"/>
              <w:jc w:val="left"/>
              <w:rPr>
                <w:rStyle w:val="None"/>
                <w:rFonts w:ascii="Arial" w:cs="Arial" w:hAnsi="Arial" w:eastAsia="Arial"/>
                <w:b w:val="1"/>
                <w:bCs w:val="1"/>
                <w:shd w:val="nil" w:color="auto" w:fill="auto"/>
                <w:rtl w:val="0"/>
              </w:rPr>
            </w:pPr>
            <w:r>
              <w:rPr>
                <w:rStyle w:val="None"/>
                <w:rFonts w:ascii="Arial" w:hAnsi="Arial"/>
                <w:b w:val="1"/>
                <w:bCs w:val="1"/>
                <w:shd w:val="nil" w:color="auto" w:fill="auto"/>
                <w:rtl w:val="0"/>
                <w:lang w:val="en-US"/>
              </w:rPr>
              <w:t>Impact</w:t>
            </w:r>
          </w:p>
          <w:p>
            <w:pPr>
              <w:pStyle w:val="Body"/>
              <w:bidi w:val="0"/>
              <w:spacing w:after="0" w:line="240" w:lineRule="auto"/>
              <w:ind w:left="0" w:right="0" w:firstLine="0"/>
              <w:jc w:val="left"/>
              <w:rPr>
                <w:rtl w:val="0"/>
              </w:rPr>
            </w:pPr>
            <w:r>
              <w:rPr>
                <w:rStyle w:val="None"/>
                <w:rFonts w:ascii="Arial" w:hAnsi="Arial"/>
                <w:shd w:val="nil" w:color="auto" w:fill="auto"/>
                <w:rtl w:val="0"/>
                <w:lang w:val="en-US"/>
              </w:rPr>
              <w:t>This project directly supports</w:t>
            </w:r>
            <w:r>
              <w:rPr>
                <w:rStyle w:val="None"/>
                <w:rFonts w:ascii="Arial" w:hAnsi="Arial" w:hint="default"/>
                <w:shd w:val="nil" w:color="auto" w:fill="auto"/>
                <w:rtl w:val="0"/>
                <w:lang w:val="en-US"/>
              </w:rPr>
              <w:t> </w:t>
            </w:r>
            <w:r>
              <w:rPr>
                <w:rStyle w:val="None"/>
                <w:rFonts w:ascii="Arial" w:hAnsi="Arial"/>
                <w:shd w:val="nil" w:color="auto" w:fill="auto"/>
                <w:rtl w:val="0"/>
                <w:lang w:val="en-US"/>
              </w:rPr>
              <w:t>community integration</w:t>
            </w:r>
            <w:r>
              <w:rPr>
                <w:rStyle w:val="None"/>
                <w:rFonts w:ascii="Arial" w:hAnsi="Arial" w:hint="default"/>
                <w:shd w:val="nil" w:color="auto" w:fill="auto"/>
                <w:rtl w:val="0"/>
                <w:lang w:val="en-US"/>
              </w:rPr>
              <w:t> </w:t>
            </w:r>
            <w:r>
              <w:rPr>
                <w:rStyle w:val="None"/>
                <w:rFonts w:ascii="Arial" w:hAnsi="Arial"/>
                <w:shd w:val="nil" w:color="auto" w:fill="auto"/>
                <w:rtl w:val="0"/>
                <w:lang w:val="en-US"/>
              </w:rPr>
              <w:t>by empowering individuals with the language, skills, and confidence to thrive. Olha</w:t>
            </w:r>
            <w:r>
              <w:rPr>
                <w:rStyle w:val="None"/>
                <w:rFonts w:ascii="Arial" w:hAnsi="Arial" w:hint="default"/>
                <w:shd w:val="nil" w:color="auto" w:fill="auto"/>
                <w:rtl w:val="0"/>
                <w:lang w:val="en-US"/>
              </w:rPr>
              <w:t>’</w:t>
            </w:r>
            <w:r>
              <w:rPr>
                <w:rStyle w:val="None"/>
                <w:rFonts w:ascii="Arial" w:hAnsi="Arial"/>
                <w:shd w:val="nil" w:color="auto" w:fill="auto"/>
                <w:rtl w:val="0"/>
                <w:lang w:val="en-US"/>
              </w:rPr>
              <w:t>s story is a powerful example of how targeted support and inclusive learning can transform lives and strengthen communities.</w:t>
            </w:r>
            <w:r>
              <w:rPr>
                <w:rStyle w:val="None"/>
                <w:rFonts w:ascii="Arial" w:cs="Arial" w:hAnsi="Arial" w:eastAsia="Arial"/>
                <w:shd w:val="nil" w:color="auto" w:fill="auto"/>
              </w:rPr>
            </w:r>
          </w:p>
        </w:tc>
        <w:tc>
          <w:tcPr>
            <w:tcW w:type="dxa" w:w="69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rFonts w:ascii="Segoe UI" w:cs="Segoe UI" w:hAnsi="Segoe UI" w:eastAsia="Segoe UI"/>
                <w:sz w:val="18"/>
                <w:szCs w:val="18"/>
                <w:shd w:val="clear" w:color="auto" w:fill="ffffff"/>
              </w:rPr>
              <w:drawing xmlns:a="http://schemas.openxmlformats.org/drawingml/2006/main">
                <wp:inline distT="0" distB="0" distL="0" distR="0">
                  <wp:extent cx="3244850" cy="4000500"/>
                  <wp:effectExtent l="0" t="0" r="0" b="0"/>
                  <wp:docPr id="1073741841" name="officeArt object" descr="A poster with text and a person, Picture, Picture"/>
                  <wp:cNvGraphicFramePr/>
                  <a:graphic xmlns:a="http://schemas.openxmlformats.org/drawingml/2006/main">
                    <a:graphicData uri="http://schemas.openxmlformats.org/drawingml/2006/picture">
                      <pic:pic xmlns:pic="http://schemas.openxmlformats.org/drawingml/2006/picture">
                        <pic:nvPicPr>
                          <pic:cNvPr id="1073741841" name="A poster with text and a person, Picture, Picture" descr="A poster with text and a person, Picture, Picture"/>
                          <pic:cNvPicPr>
                            <a:picLocks noChangeAspect="1"/>
                          </pic:cNvPicPr>
                        </pic:nvPicPr>
                        <pic:blipFill>
                          <a:blip r:embed="rId11">
                            <a:extLst/>
                          </a:blip>
                          <a:stretch>
                            <a:fillRect/>
                          </a:stretch>
                        </pic:blipFill>
                        <pic:spPr>
                          <a:xfrm>
                            <a:off x="0" y="0"/>
                            <a:ext cx="3244850" cy="4000500"/>
                          </a:xfrm>
                          <a:prstGeom prst="rect">
                            <a:avLst/>
                          </a:prstGeom>
                          <a:ln w="12700" cap="flat">
                            <a:noFill/>
                            <a:miter lim="400000"/>
                          </a:ln>
                          <a:effectLst/>
                        </pic:spPr>
                      </pic:pic>
                    </a:graphicData>
                  </a:graphic>
                </wp:inline>
              </w:drawing>
            </w:r>
            <w:r>
              <w:rPr>
                <w:rStyle w:val="None"/>
                <w:rFonts w:ascii="Aptos" w:cs="Aptos" w:hAnsi="Aptos" w:eastAsia="Aptos"/>
                <w:shd w:val="clear" w:color="auto" w:fill="ffffff"/>
                <w:lang w:val="en-US"/>
              </w:rPr>
              <w:br w:type="textWrapping"/>
            </w:r>
          </w:p>
        </w:tc>
      </w:tr>
    </w:tbl>
    <w:p>
      <w:pPr>
        <w:pStyle w:val="Body"/>
        <w:widowControl w:val="0"/>
        <w:spacing w:after="0" w:line="240" w:lineRule="auto"/>
        <w:rPr>
          <w:rStyle w:val="None"/>
          <w:rFonts w:ascii="Arial" w:cs="Arial" w:hAnsi="Arial" w:eastAsia="Arial"/>
          <w:outline w:val="0"/>
          <w:color w:val="000000"/>
          <w:u w:color="000000"/>
          <w14:textFill>
            <w14:solidFill>
              <w14:srgbClr w14:val="000000"/>
            </w14:solidFill>
          </w14:textFill>
        </w:rPr>
      </w:pPr>
    </w:p>
    <w:p>
      <w:pPr>
        <w:pStyle w:val="Body"/>
        <w:spacing w:after="0"/>
        <w:rPr>
          <w:rStyle w:val="None"/>
          <w:rFonts w:ascii="Arial" w:cs="Arial" w:hAnsi="Arial" w:eastAsia="Arial"/>
          <w:outline w:val="0"/>
          <w:color w:val="000000"/>
          <w:u w:color="000000"/>
          <w14:textFill>
            <w14:solidFill>
              <w14:srgbClr w14:val="000000"/>
            </w14:solidFill>
          </w14:textFill>
        </w:rPr>
      </w:pPr>
    </w:p>
    <w:p>
      <w:pPr>
        <w:pStyle w:val="Body"/>
        <w:rPr>
          <w:rStyle w:val="None"/>
          <w:rFonts w:ascii="Arial" w:cs="Arial" w:hAnsi="Arial" w:eastAsia="Arial"/>
          <w:b w:val="1"/>
          <w:bCs w:val="1"/>
          <w:outline w:val="0"/>
          <w:color w:val="000000"/>
          <w:u w:color="000000"/>
          <w14:textFill>
            <w14:solidFill>
              <w14:srgbClr w14:val="000000"/>
            </w14:solidFill>
          </w14:textFill>
        </w:rPr>
      </w:pPr>
      <w:r>
        <w:rPr>
          <w:rStyle w:val="None"/>
          <w:rFonts w:ascii="Arial" w:hAnsi="Arial"/>
          <w:b w:val="1"/>
          <w:bCs w:val="1"/>
          <w:outline w:val="0"/>
          <w:color w:val="000000"/>
          <w:u w:color="000000"/>
          <w:rtl w:val="0"/>
          <w:lang w:val="en-US"/>
          <w14:textFill>
            <w14:solidFill>
              <w14:srgbClr w14:val="000000"/>
            </w14:solidFill>
          </w14:textFill>
        </w:rPr>
        <w:t xml:space="preserve">Case Study 4: Volunteering for Community Empowerment </w:t>
      </w:r>
      <w:r>
        <w:rPr>
          <w:rStyle w:val="None"/>
          <w:rFonts w:ascii="Arial" w:hAnsi="Arial" w:hint="default"/>
          <w:b w:val="1"/>
          <w:bCs w:val="1"/>
          <w:outline w:val="0"/>
          <w:color w:val="000000"/>
          <w:u w:color="000000"/>
          <w:rtl w:val="0"/>
          <w:lang w:val="en-US"/>
          <w14:textFill>
            <w14:solidFill>
              <w14:srgbClr w14:val="000000"/>
            </w14:solidFill>
          </w14:textFill>
        </w:rPr>
        <w:t xml:space="preserve">– </w:t>
      </w:r>
      <w:r>
        <w:rPr>
          <w:rStyle w:val="None"/>
          <w:rFonts w:ascii="Arial" w:hAnsi="Arial"/>
          <w:b w:val="1"/>
          <w:bCs w:val="1"/>
          <w:outline w:val="0"/>
          <w:color w:val="000000"/>
          <w:u w:color="000000"/>
          <w:rtl w:val="0"/>
          <w:lang w:val="en-US"/>
          <w14:textFill>
            <w14:solidFill>
              <w14:srgbClr w14:val="000000"/>
            </w14:solidFill>
          </w14:textFill>
        </w:rPr>
        <w:t>Learners Together Forum</w:t>
      </w:r>
    </w:p>
    <w:p>
      <w:pPr>
        <w:pStyle w:val="Body"/>
        <w:rPr>
          <w:rStyle w:val="None"/>
          <w:rFonts w:ascii="Arial" w:cs="Arial" w:hAnsi="Arial" w:eastAsia="Arial"/>
          <w:b w:val="1"/>
          <w:bCs w:val="1"/>
        </w:rPr>
      </w:pPr>
      <w:r>
        <w:rPr>
          <w:rStyle w:val="None"/>
          <w:rFonts w:ascii="Arial" w:hAnsi="Arial"/>
          <w:b w:val="1"/>
          <w:bCs w:val="1"/>
          <w:rtl w:val="0"/>
          <w:lang w:val="en-US"/>
        </w:rPr>
        <w:t>LOIP Outcome Contribution</w:t>
      </w:r>
    </w:p>
    <w:p>
      <w:pPr>
        <w:pStyle w:val="Body"/>
        <w:rPr>
          <w:rStyle w:val="None"/>
          <w:rFonts w:ascii="Arial" w:cs="Arial" w:hAnsi="Arial" w:eastAsia="Arial"/>
          <w:b w:val="1"/>
          <w:bCs w:val="1"/>
          <w:outline w:val="0"/>
          <w:color w:val="000000"/>
          <w:u w:color="000000"/>
          <w14:textFill>
            <w14:solidFill>
              <w14:srgbClr w14:val="000000"/>
            </w14:solidFill>
          </w14:textFill>
        </w:rPr>
      </w:pPr>
      <w:r>
        <w:rPr>
          <w:rStyle w:val="None"/>
          <w:rFonts w:ascii="Arial" w:hAnsi="Arial"/>
          <w:b w:val="1"/>
          <w:bCs w:val="1"/>
          <w:rtl w:val="0"/>
          <w:lang w:val="en-US"/>
        </w:rPr>
        <w:t>LOIP Outcome 7</w:t>
      </w:r>
      <w:r>
        <w:rPr>
          <w:rStyle w:val="None"/>
          <w:rFonts w:ascii="Arial" w:hAnsi="Arial"/>
          <w:rtl w:val="0"/>
        </w:rPr>
        <w:t>:</w:t>
      </w:r>
      <w:r>
        <w:rPr>
          <w:rStyle w:val="None"/>
          <w:rFonts w:ascii="Arial" w:hAnsi="Arial" w:hint="default"/>
          <w:rtl w:val="0"/>
          <w:lang w:val="en-US"/>
        </w:rPr>
        <w:t> </w:t>
      </w:r>
      <w:r>
        <w:rPr>
          <w:rStyle w:val="None"/>
          <w:rFonts w:ascii="Arial" w:hAnsi="Arial"/>
          <w:rtl w:val="0"/>
          <w:lang w:val="en-US"/>
        </w:rPr>
        <w:t>Increase volunteering opportunities to help develop skills, build capacity and support progression into employability</w:t>
      </w:r>
    </w:p>
    <w:p>
      <w:pPr>
        <w:pStyle w:val="Body"/>
        <w:rPr>
          <w:rStyle w:val="None"/>
          <w:rFonts w:ascii="Arial" w:cs="Arial" w:hAnsi="Arial" w:eastAsia="Arial"/>
        </w:rPr>
      </w:pPr>
      <w:r>
        <w:rPr>
          <w:rStyle w:val="None"/>
          <w:rFonts w:ascii="Arial" w:hAnsi="Arial"/>
          <w:rtl w:val="0"/>
          <w:lang w:val="en-US"/>
        </w:rPr>
        <w:t>The</w:t>
      </w:r>
      <w:r>
        <w:rPr>
          <w:rStyle w:val="None"/>
          <w:rFonts w:ascii="Arial" w:hAnsi="Arial" w:hint="default"/>
          <w:rtl w:val="0"/>
          <w:lang w:val="en-US"/>
        </w:rPr>
        <w:t> </w:t>
      </w:r>
      <w:r>
        <w:rPr>
          <w:rStyle w:val="None"/>
          <w:rFonts w:ascii="Arial" w:hAnsi="Arial"/>
          <w:rtl w:val="0"/>
          <w:lang w:val="en-US"/>
        </w:rPr>
        <w:t>Learners Together Forum, established in 2018 by the</w:t>
      </w:r>
      <w:r>
        <w:rPr>
          <w:rStyle w:val="None"/>
          <w:rFonts w:ascii="Arial" w:hAnsi="Arial" w:hint="default"/>
          <w:rtl w:val="0"/>
          <w:lang w:val="en-US"/>
        </w:rPr>
        <w:t> </w:t>
      </w:r>
      <w:r>
        <w:rPr>
          <w:rStyle w:val="None"/>
          <w:rFonts w:ascii="Arial" w:hAnsi="Arial"/>
          <w:rtl w:val="0"/>
          <w:lang w:val="en-US"/>
        </w:rPr>
        <w:t>Lifelong Learning Service, empowers adult learners across Dumfries and Galloway to shape their own educational experiences. Volunteers from four ward areas actively contribute to identifying learning needs, co-designing course content, and advocating for inclusive, accessible education.</w:t>
      </w:r>
    </w:p>
    <w:p>
      <w:pPr>
        <w:pStyle w:val="Body"/>
        <w:rPr>
          <w:rStyle w:val="None"/>
          <w:rFonts w:ascii="Arial" w:cs="Arial" w:hAnsi="Arial" w:eastAsia="Arial"/>
          <w:b w:val="1"/>
          <w:bCs w:val="1"/>
        </w:rPr>
      </w:pPr>
      <w:r>
        <w:rPr>
          <w:rStyle w:val="None"/>
          <w:rFonts w:ascii="Arial" w:hAnsi="Arial"/>
          <w:b w:val="1"/>
          <w:bCs w:val="1"/>
          <w:rtl w:val="0"/>
          <w:lang w:val="en-US"/>
        </w:rPr>
        <w:t>Why It Matters</w:t>
      </w:r>
    </w:p>
    <w:p>
      <w:pPr>
        <w:pStyle w:val="Body"/>
        <w:rPr>
          <w:rStyle w:val="None"/>
          <w:rFonts w:ascii="Arial" w:cs="Arial" w:hAnsi="Arial" w:eastAsia="Arial"/>
        </w:rPr>
      </w:pPr>
      <w:r>
        <w:rPr>
          <w:rStyle w:val="None"/>
          <w:rFonts w:ascii="Arial" w:hAnsi="Arial"/>
          <w:rtl w:val="0"/>
          <w:lang w:val="en-US"/>
        </w:rPr>
        <w:t>Co-designing learning with adult learners ensures:</w:t>
      </w:r>
    </w:p>
    <w:p>
      <w:pPr>
        <w:pStyle w:val="Body"/>
        <w:numPr>
          <w:ilvl w:val="0"/>
          <w:numId w:val="55"/>
        </w:numPr>
        <w:bidi w:val="0"/>
        <w:ind w:right="0"/>
        <w:jc w:val="left"/>
        <w:rPr>
          <w:rFonts w:ascii="Arial" w:hAnsi="Arial"/>
          <w:rtl w:val="0"/>
          <w:lang w:val="fr-FR"/>
        </w:rPr>
      </w:pPr>
      <w:r>
        <w:rPr>
          <w:rStyle w:val="None"/>
          <w:rFonts w:ascii="Arial" w:hAnsi="Arial"/>
          <w:b w:val="1"/>
          <w:bCs w:val="1"/>
          <w:rtl w:val="0"/>
          <w:lang w:val="fr-FR"/>
        </w:rPr>
        <w:t>Relevance</w:t>
      </w:r>
      <w:r>
        <w:rPr>
          <w:rStyle w:val="wacimagecontainer"/>
          <w:rFonts w:ascii="Arial" w:hAnsi="Arial"/>
          <w:rtl w:val="0"/>
          <w:lang w:val="en-US"/>
        </w:rPr>
        <w:t>: Courses reflect real-life needs and community priorities.</w:t>
      </w:r>
    </w:p>
    <w:p>
      <w:pPr>
        <w:pStyle w:val="Body"/>
        <w:numPr>
          <w:ilvl w:val="0"/>
          <w:numId w:val="55"/>
        </w:numPr>
        <w:bidi w:val="0"/>
        <w:ind w:right="0"/>
        <w:jc w:val="left"/>
        <w:rPr>
          <w:rFonts w:ascii="Arial" w:hAnsi="Arial"/>
          <w:rtl w:val="0"/>
          <w:lang w:val="en-US"/>
        </w:rPr>
      </w:pPr>
      <w:r>
        <w:rPr>
          <w:rStyle w:val="None"/>
          <w:rFonts w:ascii="Arial" w:hAnsi="Arial"/>
          <w:b w:val="1"/>
          <w:bCs w:val="1"/>
          <w:rtl w:val="0"/>
          <w:lang w:val="en-US"/>
        </w:rPr>
        <w:t>Empowerment</w:t>
      </w:r>
      <w:r>
        <w:rPr>
          <w:rStyle w:val="wacimagecontainer"/>
          <w:rFonts w:ascii="Arial" w:hAnsi="Arial"/>
          <w:rtl w:val="0"/>
          <w:lang w:val="en-US"/>
        </w:rPr>
        <w:t>: Learners gain ownership and confidence.</w:t>
      </w:r>
    </w:p>
    <w:p>
      <w:pPr>
        <w:pStyle w:val="Body"/>
        <w:numPr>
          <w:ilvl w:val="0"/>
          <w:numId w:val="55"/>
        </w:numPr>
        <w:bidi w:val="0"/>
        <w:ind w:right="0"/>
        <w:jc w:val="left"/>
        <w:rPr>
          <w:rFonts w:ascii="Arial" w:hAnsi="Arial"/>
          <w:rtl w:val="0"/>
          <w:lang w:val="en-US"/>
        </w:rPr>
      </w:pPr>
      <w:r>
        <w:rPr>
          <w:rStyle w:val="None"/>
          <w:rFonts w:ascii="Arial" w:hAnsi="Arial"/>
          <w:b w:val="1"/>
          <w:bCs w:val="1"/>
          <w:rtl w:val="0"/>
          <w:lang w:val="en-US"/>
        </w:rPr>
        <w:t>Inclusivity</w:t>
      </w:r>
      <w:r>
        <w:rPr>
          <w:rStyle w:val="wacimagecontainer"/>
          <w:rFonts w:ascii="Arial" w:hAnsi="Arial"/>
          <w:rtl w:val="0"/>
          <w:lang w:val="en-US"/>
        </w:rPr>
        <w:t>: Barriers such as language and access are addressed.</w:t>
      </w:r>
    </w:p>
    <w:p>
      <w:pPr>
        <w:pStyle w:val="Body"/>
        <w:numPr>
          <w:ilvl w:val="0"/>
          <w:numId w:val="55"/>
        </w:numPr>
        <w:bidi w:val="0"/>
        <w:ind w:right="0"/>
        <w:jc w:val="left"/>
        <w:rPr>
          <w:rFonts w:ascii="Arial" w:hAnsi="Arial"/>
          <w:rtl w:val="0"/>
          <w:lang w:val="en-US"/>
        </w:rPr>
      </w:pPr>
      <w:r>
        <w:rPr>
          <w:rStyle w:val="None"/>
          <w:rFonts w:ascii="Arial" w:hAnsi="Arial"/>
          <w:b w:val="1"/>
          <w:bCs w:val="1"/>
          <w:rtl w:val="0"/>
          <w:lang w:val="en-US"/>
        </w:rPr>
        <w:t>Community Strength</w:t>
      </w:r>
      <w:r>
        <w:rPr>
          <w:rStyle w:val="wacimagecontainer"/>
          <w:rFonts w:ascii="Arial" w:hAnsi="Arial"/>
          <w:rtl w:val="0"/>
          <w:lang w:val="en-US"/>
        </w:rPr>
        <w:t>: Collaboration fosters resilience and connection.</w:t>
      </w:r>
    </w:p>
    <w:p>
      <w:pPr>
        <w:pStyle w:val="Body"/>
        <w:numPr>
          <w:ilvl w:val="0"/>
          <w:numId w:val="55"/>
        </w:numPr>
        <w:bidi w:val="0"/>
        <w:ind w:right="0"/>
        <w:jc w:val="left"/>
        <w:rPr>
          <w:rFonts w:ascii="Arial" w:hAnsi="Arial"/>
          <w:rtl w:val="0"/>
        </w:rPr>
      </w:pPr>
      <w:r>
        <w:rPr>
          <w:rStyle w:val="None"/>
          <w:rFonts w:ascii="Arial" w:hAnsi="Arial"/>
          <w:b w:val="1"/>
          <w:bCs w:val="1"/>
          <w:rtl w:val="0"/>
        </w:rPr>
        <w:t>Sustainability</w:t>
      </w:r>
      <w:r>
        <w:rPr>
          <w:rStyle w:val="wacimagecontainer"/>
          <w:rFonts w:ascii="Arial" w:hAnsi="Arial"/>
          <w:rtl w:val="0"/>
          <w:lang w:val="en-US"/>
        </w:rPr>
        <w:t>: Programmes are more likely to endure and evolve.</w:t>
      </w:r>
    </w:p>
    <w:p>
      <w:pPr>
        <w:pStyle w:val="Body"/>
        <w:rPr>
          <w:rStyle w:val="None"/>
          <w:rFonts w:ascii="Arial" w:cs="Arial" w:hAnsi="Arial" w:eastAsia="Arial"/>
          <w:b w:val="1"/>
          <w:bCs w:val="1"/>
        </w:rPr>
      </w:pPr>
      <w:r>
        <w:rPr>
          <w:rStyle w:val="None"/>
          <w:rFonts w:ascii="Arial" w:hAnsi="Arial"/>
          <w:b w:val="1"/>
          <w:bCs w:val="1"/>
          <w:rtl w:val="0"/>
          <w:lang w:val="en-US"/>
        </w:rPr>
        <w:t>What We Did</w:t>
      </w:r>
    </w:p>
    <w:p>
      <w:pPr>
        <w:pStyle w:val="Body"/>
        <w:rPr>
          <w:rStyle w:val="None"/>
          <w:rFonts w:ascii="Arial" w:cs="Arial" w:hAnsi="Arial" w:eastAsia="Arial"/>
        </w:rPr>
      </w:pPr>
      <w:r>
        <w:rPr>
          <w:rStyle w:val="None"/>
          <w:rFonts w:ascii="Arial" w:hAnsi="Arial"/>
          <w:rtl w:val="0"/>
          <w:lang w:val="en-US"/>
        </w:rPr>
        <w:t>Forum volunteers play a vital role in:</w:t>
      </w:r>
    </w:p>
    <w:p>
      <w:pPr>
        <w:pStyle w:val="Body"/>
        <w:numPr>
          <w:ilvl w:val="0"/>
          <w:numId w:val="57"/>
        </w:numPr>
        <w:bidi w:val="0"/>
        <w:ind w:right="0"/>
        <w:jc w:val="left"/>
        <w:rPr>
          <w:rFonts w:ascii="Arial" w:hAnsi="Arial"/>
          <w:rtl w:val="0"/>
          <w:lang w:val="en-US"/>
        </w:rPr>
      </w:pPr>
      <w:r>
        <w:rPr>
          <w:rStyle w:val="wacimagecontainer"/>
          <w:rFonts w:ascii="Arial" w:hAnsi="Arial"/>
          <w:rtl w:val="0"/>
          <w:lang w:val="en-US"/>
        </w:rPr>
        <w:t>Identifying local learning needs</w:t>
      </w:r>
    </w:p>
    <w:p>
      <w:pPr>
        <w:pStyle w:val="Body"/>
        <w:numPr>
          <w:ilvl w:val="0"/>
          <w:numId w:val="57"/>
        </w:numPr>
        <w:bidi w:val="0"/>
        <w:ind w:right="0"/>
        <w:jc w:val="left"/>
        <w:rPr>
          <w:rFonts w:ascii="Arial" w:hAnsi="Arial"/>
          <w:rtl w:val="0"/>
          <w:lang w:val="en-US"/>
        </w:rPr>
      </w:pPr>
      <w:r>
        <w:rPr>
          <w:rStyle w:val="wacimagecontainer"/>
          <w:rFonts w:ascii="Arial" w:hAnsi="Arial"/>
          <w:rtl w:val="0"/>
          <w:lang w:val="en-US"/>
        </w:rPr>
        <w:t>Shaping course content and delivery methods</w:t>
      </w:r>
    </w:p>
    <w:p>
      <w:pPr>
        <w:pStyle w:val="Body"/>
        <w:numPr>
          <w:ilvl w:val="0"/>
          <w:numId w:val="57"/>
        </w:numPr>
        <w:bidi w:val="0"/>
        <w:ind w:right="0"/>
        <w:jc w:val="left"/>
        <w:rPr>
          <w:rFonts w:ascii="Arial" w:hAnsi="Arial"/>
          <w:rtl w:val="0"/>
          <w:lang w:val="en-US"/>
        </w:rPr>
      </w:pPr>
      <w:r>
        <w:rPr>
          <w:rStyle w:val="wacimagecontainer"/>
          <w:rFonts w:ascii="Arial" w:hAnsi="Arial"/>
          <w:rtl w:val="0"/>
          <w:lang w:val="en-US"/>
        </w:rPr>
        <w:t>Collaborating with tutors and coordinators</w:t>
      </w:r>
    </w:p>
    <w:p>
      <w:pPr>
        <w:pStyle w:val="Body"/>
        <w:numPr>
          <w:ilvl w:val="0"/>
          <w:numId w:val="57"/>
        </w:numPr>
        <w:bidi w:val="0"/>
        <w:ind w:right="0"/>
        <w:jc w:val="left"/>
        <w:rPr>
          <w:rFonts w:ascii="Arial" w:hAnsi="Arial"/>
          <w:rtl w:val="0"/>
          <w:lang w:val="en-US"/>
        </w:rPr>
      </w:pPr>
      <w:r>
        <w:rPr>
          <w:rStyle w:val="wacimagecontainer"/>
          <w:rFonts w:ascii="Arial" w:hAnsi="Arial"/>
          <w:rtl w:val="0"/>
          <w:lang w:val="en-US"/>
        </w:rPr>
        <w:t>Evaluating and improving existing programmes</w:t>
      </w:r>
    </w:p>
    <w:p>
      <w:pPr>
        <w:pStyle w:val="Body"/>
        <w:numPr>
          <w:ilvl w:val="0"/>
          <w:numId w:val="57"/>
        </w:numPr>
        <w:bidi w:val="0"/>
        <w:ind w:right="0"/>
        <w:jc w:val="left"/>
        <w:rPr>
          <w:rFonts w:ascii="Arial" w:hAnsi="Arial"/>
          <w:rtl w:val="0"/>
          <w:lang w:val="en-US"/>
        </w:rPr>
      </w:pPr>
      <w:r>
        <w:rPr>
          <w:rStyle w:val="wacimagecontainer"/>
          <w:rFonts w:ascii="Arial" w:hAnsi="Arial"/>
          <w:rtl w:val="0"/>
          <w:lang w:val="en-US"/>
        </w:rPr>
        <w:t>Championing inclusion for marginalized groups</w:t>
      </w:r>
    </w:p>
    <w:p>
      <w:pPr>
        <w:pStyle w:val="Body"/>
        <w:rPr>
          <w:rStyle w:val="None"/>
          <w:rFonts w:ascii="Arial" w:cs="Arial" w:hAnsi="Arial" w:eastAsia="Arial"/>
        </w:rPr>
      </w:pPr>
      <w:r>
        <w:rPr>
          <w:rStyle w:val="None"/>
          <w:rFonts w:ascii="Arial" w:hAnsi="Arial"/>
          <w:rtl w:val="0"/>
          <w:lang w:val="en-US"/>
        </w:rPr>
        <w:t>Their efforts have helped secure</w:t>
      </w:r>
      <w:r>
        <w:rPr>
          <w:rStyle w:val="None"/>
          <w:rFonts w:ascii="Arial" w:hAnsi="Arial" w:hint="default"/>
          <w:rtl w:val="0"/>
          <w:lang w:val="en-US"/>
        </w:rPr>
        <w:t> </w:t>
      </w:r>
      <w:r>
        <w:rPr>
          <w:rStyle w:val="None"/>
          <w:rFonts w:ascii="Arial" w:hAnsi="Arial"/>
          <w:rtl w:val="0"/>
          <w:lang w:val="nl-NL"/>
        </w:rPr>
        <w:t xml:space="preserve">over </w:t>
      </w:r>
      <w:r>
        <w:rPr>
          <w:rStyle w:val="None"/>
          <w:rFonts w:ascii="Arial" w:hAnsi="Arial" w:hint="default"/>
          <w:rtl w:val="0"/>
          <w:lang w:val="en-US"/>
        </w:rPr>
        <w:t>£</w:t>
      </w:r>
      <w:r>
        <w:rPr>
          <w:rStyle w:val="None"/>
          <w:rFonts w:ascii="Arial" w:hAnsi="Arial"/>
          <w:rtl w:val="0"/>
          <w:lang w:val="en-US"/>
        </w:rPr>
        <w:t>90,000 in external funding, enabling a wide range of community learning opportunities, including:</w:t>
      </w:r>
    </w:p>
    <w:p>
      <w:pPr>
        <w:pStyle w:val="Body"/>
        <w:numPr>
          <w:ilvl w:val="0"/>
          <w:numId w:val="59"/>
        </w:numPr>
        <w:bidi w:val="0"/>
        <w:ind w:right="0"/>
        <w:jc w:val="left"/>
        <w:rPr>
          <w:rFonts w:ascii="Arial" w:hAnsi="Arial"/>
          <w:rtl w:val="0"/>
          <w:lang w:val="en-US"/>
        </w:rPr>
      </w:pPr>
      <w:r>
        <w:rPr>
          <w:rStyle w:val="wacimagecontainer"/>
          <w:rFonts w:ascii="Arial" w:hAnsi="Arial"/>
          <w:rtl w:val="0"/>
          <w:lang w:val="en-US"/>
        </w:rPr>
        <w:t>Literacy and numeracy classes</w:t>
      </w:r>
    </w:p>
    <w:p>
      <w:pPr>
        <w:pStyle w:val="Body"/>
        <w:numPr>
          <w:ilvl w:val="0"/>
          <w:numId w:val="59"/>
        </w:numPr>
        <w:bidi w:val="0"/>
        <w:ind w:right="0"/>
        <w:jc w:val="left"/>
        <w:rPr>
          <w:rFonts w:ascii="Arial" w:hAnsi="Arial"/>
          <w:rtl w:val="0"/>
          <w:lang w:val="en-US"/>
        </w:rPr>
      </w:pPr>
      <w:r>
        <w:rPr>
          <w:rStyle w:val="wacimagecontainer"/>
          <w:rFonts w:ascii="Arial" w:hAnsi="Arial"/>
          <w:rtl w:val="0"/>
          <w:lang w:val="en-US"/>
        </w:rPr>
        <w:t>Art and craft sessions for mental wellbeing</w:t>
      </w:r>
    </w:p>
    <w:p>
      <w:pPr>
        <w:pStyle w:val="Body"/>
        <w:numPr>
          <w:ilvl w:val="0"/>
          <w:numId w:val="59"/>
        </w:numPr>
        <w:bidi w:val="0"/>
        <w:ind w:right="0"/>
        <w:jc w:val="left"/>
        <w:rPr>
          <w:rFonts w:ascii="Arial" w:hAnsi="Arial"/>
          <w:rtl w:val="0"/>
          <w:lang w:val="en-US"/>
        </w:rPr>
      </w:pPr>
      <w:r>
        <w:rPr>
          <w:rStyle w:val="wacimagecontainer"/>
          <w:rFonts w:ascii="Arial" w:hAnsi="Arial"/>
          <w:rtl w:val="0"/>
          <w:lang w:val="en-US"/>
        </w:rPr>
        <w:t>Digital skills training and device access</w:t>
      </w:r>
    </w:p>
    <w:p>
      <w:pPr>
        <w:pStyle w:val="Body"/>
        <w:numPr>
          <w:ilvl w:val="0"/>
          <w:numId w:val="59"/>
        </w:numPr>
        <w:bidi w:val="0"/>
        <w:ind w:right="0"/>
        <w:jc w:val="left"/>
        <w:rPr>
          <w:rFonts w:ascii="Arial" w:hAnsi="Arial"/>
          <w:rtl w:val="0"/>
          <w:lang w:val="en-US"/>
        </w:rPr>
      </w:pPr>
      <w:r>
        <w:rPr>
          <w:rStyle w:val="wacimagecontainer"/>
          <w:rFonts w:ascii="Arial" w:hAnsi="Arial"/>
          <w:rtl w:val="0"/>
          <w:lang w:val="en-US"/>
        </w:rPr>
        <w:t>Cooking and First Aid classes</w:t>
      </w:r>
    </w:p>
    <w:p>
      <w:pPr>
        <w:pStyle w:val="Body"/>
        <w:numPr>
          <w:ilvl w:val="0"/>
          <w:numId w:val="59"/>
        </w:numPr>
        <w:bidi w:val="0"/>
        <w:ind w:right="0"/>
        <w:jc w:val="left"/>
        <w:rPr>
          <w:rFonts w:ascii="Arial" w:hAnsi="Arial"/>
          <w:rtl w:val="0"/>
          <w:lang w:val="en-US"/>
        </w:rPr>
      </w:pPr>
      <w:r>
        <w:rPr>
          <w:rStyle w:val="wacimagecontainer"/>
          <w:rFonts w:ascii="Arial" w:hAnsi="Arial"/>
          <w:rtl w:val="0"/>
          <w:lang w:val="en-US"/>
        </w:rPr>
        <w:t>British Sign Language courses</w:t>
      </w:r>
    </w:p>
    <w:p>
      <w:pPr>
        <w:pStyle w:val="Body"/>
        <w:numPr>
          <w:ilvl w:val="0"/>
          <w:numId w:val="59"/>
        </w:numPr>
        <w:bidi w:val="0"/>
        <w:ind w:right="0"/>
        <w:jc w:val="left"/>
        <w:rPr>
          <w:rFonts w:ascii="Arial" w:hAnsi="Arial"/>
          <w:rtl w:val="0"/>
          <w:lang w:val="en-US"/>
        </w:rPr>
      </w:pPr>
      <w:r>
        <w:rPr>
          <w:rStyle w:val="wacimagecontainer"/>
          <w:rFonts w:ascii="Arial" w:hAnsi="Arial"/>
          <w:rtl w:val="0"/>
          <w:lang w:val="en-US"/>
        </w:rPr>
        <w:t>Family events and free children</w:t>
      </w:r>
      <w:r>
        <w:rPr>
          <w:rStyle w:val="None"/>
          <w:rFonts w:ascii="Arial" w:hAnsi="Arial" w:hint="default"/>
          <w:rtl w:val="0"/>
          <w:lang w:val="en-US"/>
        </w:rPr>
        <w:t>’</w:t>
      </w:r>
      <w:r>
        <w:rPr>
          <w:rStyle w:val="wacimagecontainer"/>
          <w:rFonts w:ascii="Arial" w:hAnsi="Arial"/>
          <w:rtl w:val="0"/>
          <w:lang w:val="en-US"/>
        </w:rPr>
        <w:t>s books</w:t>
      </w:r>
    </w:p>
    <w:p>
      <w:pPr>
        <w:pStyle w:val="Body"/>
        <w:numPr>
          <w:ilvl w:val="0"/>
          <w:numId w:val="59"/>
        </w:numPr>
        <w:bidi w:val="0"/>
        <w:ind w:right="0"/>
        <w:jc w:val="left"/>
        <w:rPr>
          <w:rFonts w:ascii="Arial" w:hAnsi="Arial"/>
          <w:rtl w:val="0"/>
          <w:lang w:val="en-US"/>
        </w:rPr>
      </w:pPr>
      <w:r>
        <w:rPr>
          <w:rStyle w:val="wacimagecontainer"/>
          <w:rFonts w:ascii="Arial" w:hAnsi="Arial"/>
          <w:rtl w:val="0"/>
          <w:lang w:val="en-US"/>
        </w:rPr>
        <w:t>Publication of adult learners</w:t>
      </w:r>
      <w:r>
        <w:rPr>
          <w:rStyle w:val="None"/>
          <w:rFonts w:ascii="Arial" w:hAnsi="Arial" w:hint="default"/>
          <w:rtl w:val="0"/>
          <w:lang w:val="en-US"/>
        </w:rPr>
        <w:t xml:space="preserve">’ </w:t>
      </w:r>
      <w:r>
        <w:rPr>
          <w:rStyle w:val="wacimagecontainer"/>
          <w:rFonts w:ascii="Arial" w:hAnsi="Arial"/>
          <w:rtl w:val="0"/>
          <w:lang w:val="en-US"/>
        </w:rPr>
        <w:t>books</w:t>
      </w:r>
    </w:p>
    <w:p>
      <w:pPr>
        <w:pStyle w:val="Body"/>
        <w:rPr>
          <w:rStyle w:val="None"/>
          <w:rFonts w:ascii="Arial" w:cs="Arial" w:hAnsi="Arial" w:eastAsia="Arial"/>
          <w:b w:val="1"/>
          <w:bCs w:val="1"/>
        </w:rPr>
      </w:pPr>
      <w:r>
        <w:rPr>
          <w:rStyle w:val="None"/>
          <w:rFonts w:ascii="Arial" w:hAnsi="Arial"/>
          <w:b w:val="1"/>
          <w:bCs w:val="1"/>
          <w:rtl w:val="0"/>
          <w:lang w:val="en-US"/>
        </w:rPr>
        <w:t>Impact on Individuals</w:t>
      </w:r>
    </w:p>
    <w:p>
      <w:pPr>
        <w:pStyle w:val="Body"/>
        <w:rPr>
          <w:rStyle w:val="None"/>
          <w:rFonts w:ascii="Arial" w:cs="Arial" w:hAnsi="Arial" w:eastAsia="Arial"/>
        </w:rPr>
      </w:pPr>
      <w:r>
        <w:rPr>
          <w:rStyle w:val="None"/>
          <w:rFonts w:ascii="Arial" w:hAnsi="Arial"/>
          <w:rtl w:val="0"/>
          <w:lang w:val="en-US"/>
        </w:rPr>
        <w:t>Forum volunteers benefit from:</w:t>
      </w:r>
    </w:p>
    <w:p>
      <w:pPr>
        <w:pStyle w:val="Body"/>
        <w:numPr>
          <w:ilvl w:val="0"/>
          <w:numId w:val="61"/>
        </w:numPr>
        <w:bidi w:val="0"/>
        <w:ind w:right="0"/>
        <w:jc w:val="left"/>
        <w:rPr>
          <w:rFonts w:ascii="Arial" w:hAnsi="Arial"/>
          <w:rtl w:val="0"/>
          <w:lang w:val="en-US"/>
        </w:rPr>
      </w:pPr>
      <w:r>
        <w:rPr>
          <w:rStyle w:val="None"/>
          <w:rFonts w:ascii="Arial" w:hAnsi="Arial"/>
          <w:b w:val="1"/>
          <w:bCs w:val="1"/>
          <w:rtl w:val="0"/>
          <w:lang w:val="en-US"/>
        </w:rPr>
        <w:t>Skill development</w:t>
      </w:r>
      <w:r>
        <w:rPr>
          <w:rStyle w:val="None"/>
          <w:rFonts w:ascii="Arial" w:hAnsi="Arial" w:hint="default"/>
          <w:rtl w:val="0"/>
          <w:lang w:val="en-US"/>
        </w:rPr>
        <w:t> </w:t>
      </w:r>
      <w:r>
        <w:rPr>
          <w:rStyle w:val="wacimagecontainer"/>
          <w:rFonts w:ascii="Arial" w:hAnsi="Arial"/>
          <w:rtl w:val="0"/>
          <w:lang w:val="en-US"/>
        </w:rPr>
        <w:t>in leadership, communication, and problem-solving</w:t>
      </w:r>
    </w:p>
    <w:p>
      <w:pPr>
        <w:pStyle w:val="Body"/>
        <w:numPr>
          <w:ilvl w:val="0"/>
          <w:numId w:val="61"/>
        </w:numPr>
        <w:bidi w:val="0"/>
        <w:ind w:right="0"/>
        <w:jc w:val="left"/>
        <w:rPr>
          <w:rFonts w:ascii="Arial" w:hAnsi="Arial"/>
          <w:rtl w:val="0"/>
          <w:lang w:val="en-US"/>
        </w:rPr>
      </w:pPr>
      <w:r>
        <w:rPr>
          <w:rStyle w:val="None"/>
          <w:rFonts w:ascii="Arial" w:hAnsi="Arial"/>
          <w:b w:val="1"/>
          <w:bCs w:val="1"/>
          <w:rtl w:val="0"/>
          <w:lang w:val="en-US"/>
        </w:rPr>
        <w:t>Confidence building</w:t>
      </w:r>
      <w:r>
        <w:rPr>
          <w:rStyle w:val="None"/>
          <w:rFonts w:ascii="Arial" w:hAnsi="Arial" w:hint="default"/>
          <w:rtl w:val="0"/>
          <w:lang w:val="en-US"/>
        </w:rPr>
        <w:t> </w:t>
      </w:r>
      <w:r>
        <w:rPr>
          <w:rStyle w:val="wacimagecontainer"/>
          <w:rFonts w:ascii="Arial" w:hAnsi="Arial"/>
          <w:rtl w:val="0"/>
          <w:lang w:val="en-US"/>
        </w:rPr>
        <w:t>through active participation</w:t>
      </w:r>
    </w:p>
    <w:p>
      <w:pPr>
        <w:pStyle w:val="Body"/>
        <w:numPr>
          <w:ilvl w:val="0"/>
          <w:numId w:val="61"/>
        </w:numPr>
        <w:bidi w:val="0"/>
        <w:ind w:right="0"/>
        <w:jc w:val="left"/>
        <w:rPr>
          <w:rFonts w:ascii="Arial" w:hAnsi="Arial"/>
          <w:rtl w:val="0"/>
          <w:lang w:val="en-US"/>
        </w:rPr>
      </w:pPr>
      <w:r>
        <w:rPr>
          <w:rStyle w:val="None"/>
          <w:rFonts w:ascii="Arial" w:hAnsi="Arial"/>
          <w:b w:val="1"/>
          <w:bCs w:val="1"/>
          <w:rtl w:val="0"/>
          <w:lang w:val="en-US"/>
        </w:rPr>
        <w:t>Social connection</w:t>
      </w:r>
      <w:r>
        <w:rPr>
          <w:rStyle w:val="None"/>
          <w:rFonts w:ascii="Arial" w:hAnsi="Arial" w:hint="default"/>
          <w:rtl w:val="0"/>
          <w:lang w:val="en-US"/>
        </w:rPr>
        <w:t> </w:t>
      </w:r>
      <w:r>
        <w:rPr>
          <w:rStyle w:val="wacimagecontainer"/>
          <w:rFonts w:ascii="Arial" w:hAnsi="Arial"/>
          <w:rtl w:val="0"/>
          <w:lang w:val="en-US"/>
        </w:rPr>
        <w:t>and reduced isolation</w:t>
      </w:r>
    </w:p>
    <w:p>
      <w:pPr>
        <w:pStyle w:val="Body"/>
        <w:numPr>
          <w:ilvl w:val="0"/>
          <w:numId w:val="61"/>
        </w:numPr>
        <w:bidi w:val="0"/>
        <w:ind w:right="0"/>
        <w:jc w:val="left"/>
        <w:rPr>
          <w:rFonts w:ascii="Arial" w:hAnsi="Arial"/>
          <w:rtl w:val="0"/>
          <w:lang w:val="en-US"/>
        </w:rPr>
      </w:pPr>
      <w:r>
        <w:rPr>
          <w:rStyle w:val="None"/>
          <w:rFonts w:ascii="Arial" w:hAnsi="Arial"/>
          <w:b w:val="1"/>
          <w:bCs w:val="1"/>
          <w:rtl w:val="0"/>
          <w:lang w:val="en-US"/>
        </w:rPr>
        <w:t>Influence</w:t>
      </w:r>
      <w:r>
        <w:rPr>
          <w:rStyle w:val="None"/>
          <w:rFonts w:ascii="Arial" w:hAnsi="Arial" w:hint="default"/>
          <w:rtl w:val="0"/>
          <w:lang w:val="en-US"/>
        </w:rPr>
        <w:t> </w:t>
      </w:r>
      <w:r>
        <w:rPr>
          <w:rStyle w:val="wacimagecontainer"/>
          <w:rFonts w:ascii="Arial" w:hAnsi="Arial"/>
          <w:rtl w:val="0"/>
          <w:lang w:val="en-US"/>
        </w:rPr>
        <w:t>in shaping inclusive education</w:t>
      </w:r>
    </w:p>
    <w:p>
      <w:pPr>
        <w:pStyle w:val="Body"/>
        <w:numPr>
          <w:ilvl w:val="0"/>
          <w:numId w:val="61"/>
        </w:numPr>
        <w:bidi w:val="0"/>
        <w:ind w:right="0"/>
        <w:jc w:val="left"/>
        <w:rPr>
          <w:rFonts w:ascii="Arial" w:hAnsi="Arial"/>
          <w:rtl w:val="0"/>
          <w:lang w:val="en-US"/>
        </w:rPr>
      </w:pPr>
      <w:r>
        <w:rPr>
          <w:rStyle w:val="None"/>
          <w:rFonts w:ascii="Arial" w:hAnsi="Arial"/>
          <w:b w:val="1"/>
          <w:bCs w:val="1"/>
          <w:rtl w:val="0"/>
          <w:lang w:val="en-US"/>
        </w:rPr>
        <w:t>Pathways to further opportunities</w:t>
      </w:r>
      <w:r>
        <w:rPr>
          <w:rStyle w:val="None"/>
          <w:rFonts w:ascii="Arial" w:hAnsi="Arial" w:hint="default"/>
          <w:rtl w:val="0"/>
          <w:lang w:val="en-US"/>
        </w:rPr>
        <w:t> </w:t>
      </w:r>
      <w:r>
        <w:rPr>
          <w:rStyle w:val="wacimagecontainer"/>
          <w:rFonts w:ascii="Arial" w:hAnsi="Arial"/>
          <w:rtl w:val="0"/>
          <w:lang w:val="en-US"/>
        </w:rPr>
        <w:t>in volunteering, training, and employment</w:t>
      </w:r>
    </w:p>
    <w:p>
      <w:pPr>
        <w:pStyle w:val="Body"/>
        <w:numPr>
          <w:ilvl w:val="0"/>
          <w:numId w:val="61"/>
        </w:numPr>
        <w:bidi w:val="0"/>
        <w:ind w:right="0"/>
        <w:jc w:val="left"/>
        <w:rPr>
          <w:rFonts w:ascii="Arial" w:hAnsi="Arial"/>
          <w:rtl w:val="0"/>
          <w:lang w:val="en-US"/>
        </w:rPr>
      </w:pPr>
      <w:r>
        <w:rPr>
          <w:rStyle w:val="None"/>
          <w:rFonts w:ascii="Arial" w:hAnsi="Arial"/>
          <w:b w:val="1"/>
          <w:bCs w:val="1"/>
          <w:rtl w:val="0"/>
          <w:lang w:val="en-US"/>
        </w:rPr>
        <w:t>Sense of purpose and pride</w:t>
      </w:r>
      <w:r>
        <w:rPr>
          <w:rStyle w:val="None"/>
          <w:rFonts w:ascii="Arial" w:hAnsi="Arial" w:hint="default"/>
          <w:rtl w:val="0"/>
          <w:lang w:val="en-US"/>
        </w:rPr>
        <w:t> </w:t>
      </w:r>
      <w:r>
        <w:rPr>
          <w:rStyle w:val="wacimagecontainer"/>
          <w:rFonts w:ascii="Arial" w:hAnsi="Arial"/>
          <w:rtl w:val="0"/>
          <w:lang w:val="en-US"/>
        </w:rPr>
        <w:t>in supporting community learning</w:t>
      </w:r>
    </w:p>
    <w:p>
      <w:pPr>
        <w:pStyle w:val="Body"/>
        <w:rPr>
          <w:rStyle w:val="None"/>
          <w:rFonts w:ascii="Arial" w:cs="Arial" w:hAnsi="Arial" w:eastAsia="Arial"/>
        </w:rPr>
      </w:pPr>
      <w:r>
        <w:rPr>
          <w:rStyle w:val="None"/>
          <w:rFonts w:ascii="Arial" w:hAnsi="Arial"/>
          <w:rtl w:val="0"/>
          <w:lang w:val="en-US"/>
        </w:rPr>
        <w:t>In 2023, the group</w:t>
      </w:r>
      <w:r>
        <w:rPr>
          <w:rStyle w:val="None"/>
          <w:rFonts w:ascii="Arial" w:hAnsi="Arial" w:hint="default"/>
          <w:rtl w:val="0"/>
          <w:lang w:val="en-US"/>
        </w:rPr>
        <w:t>’</w:t>
      </w:r>
      <w:r>
        <w:rPr>
          <w:rStyle w:val="None"/>
          <w:rFonts w:ascii="Arial" w:hAnsi="Arial"/>
          <w:rtl w:val="0"/>
          <w:lang w:val="en-US"/>
        </w:rPr>
        <w:t>s achievements were nationally recognized with a</w:t>
      </w:r>
      <w:r>
        <w:rPr>
          <w:rStyle w:val="None"/>
          <w:rFonts w:ascii="Arial" w:hAnsi="Arial" w:hint="default"/>
          <w:rtl w:val="0"/>
          <w:lang w:val="en-US"/>
        </w:rPr>
        <w:t> </w:t>
      </w:r>
      <w:r>
        <w:rPr>
          <w:rStyle w:val="None"/>
          <w:rFonts w:ascii="Arial" w:hAnsi="Arial"/>
          <w:rtl w:val="0"/>
          <w:lang w:val="en-US"/>
        </w:rPr>
        <w:t>learning award, celebrating their commitment to empowering communities through education.</w:t>
      </w:r>
    </w:p>
    <w:p>
      <w:pPr>
        <w:pStyle w:val="Body"/>
        <w:rPr>
          <w:rStyle w:val="None"/>
          <w:rFonts w:ascii="Arial" w:cs="Arial" w:hAnsi="Arial" w:eastAsia="Arial"/>
          <w:outline w:val="0"/>
          <w:color w:val="000000"/>
          <w:u w:color="000000"/>
          <w14:textFill>
            <w14:solidFill>
              <w14:srgbClr w14:val="000000"/>
            </w14:solidFill>
          </w14:textFill>
        </w:rPr>
      </w:pPr>
    </w:p>
    <w:tbl>
      <w:tblPr>
        <w:tblW w:w="1394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1d7"/>
        <w:tblLayout w:type="fixed"/>
      </w:tblPr>
      <w:tblGrid>
        <w:gridCol w:w="6974"/>
        <w:gridCol w:w="6974"/>
      </w:tblGrid>
      <w:tr>
        <w:tblPrEx>
          <w:shd w:val="clear" w:color="auto" w:fill="cad1d7"/>
        </w:tblPrEx>
        <w:trPr>
          <w:trHeight w:val="7203" w:hRule="atLeast"/>
        </w:trPr>
        <w:tc>
          <w:tcPr>
            <w:tcW w:type="dxa" w:w="69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rFonts w:ascii="Segoe UI" w:cs="Segoe UI" w:hAnsi="Segoe UI" w:eastAsia="Segoe UI"/>
                <w:sz w:val="18"/>
                <w:szCs w:val="18"/>
                <w:shd w:val="clear" w:color="auto" w:fill="ffffff"/>
              </w:rPr>
              <w:drawing xmlns:a="http://schemas.openxmlformats.org/drawingml/2006/main">
                <wp:inline distT="0" distB="0" distL="0" distR="0">
                  <wp:extent cx="3276600" cy="4330700"/>
                  <wp:effectExtent l="0" t="0" r="0" b="0"/>
                  <wp:docPr id="1073741842" name="officeArt object" descr="A close-up of a poster&#10;&#10;AI-generated content may be incorrect., Picture, Picture"/>
                  <wp:cNvGraphicFramePr/>
                  <a:graphic xmlns:a="http://schemas.openxmlformats.org/drawingml/2006/main">
                    <a:graphicData uri="http://schemas.openxmlformats.org/drawingml/2006/picture">
                      <pic:pic xmlns:pic="http://schemas.openxmlformats.org/drawingml/2006/picture">
                        <pic:nvPicPr>
                          <pic:cNvPr id="1073741842" name="A close-up of a posterAI-generated content may be incorrect., Picture, Picture" descr="A close-up of a posterAI-generated content may be incorrect., Picture, Picture"/>
                          <pic:cNvPicPr>
                            <a:picLocks noChangeAspect="1"/>
                          </pic:cNvPicPr>
                        </pic:nvPicPr>
                        <pic:blipFill>
                          <a:blip r:embed="rId12">
                            <a:extLst/>
                          </a:blip>
                          <a:stretch>
                            <a:fillRect/>
                          </a:stretch>
                        </pic:blipFill>
                        <pic:spPr>
                          <a:xfrm>
                            <a:off x="0" y="0"/>
                            <a:ext cx="3276600" cy="4330700"/>
                          </a:xfrm>
                          <a:prstGeom prst="rect">
                            <a:avLst/>
                          </a:prstGeom>
                          <a:ln w="12700" cap="flat">
                            <a:noFill/>
                            <a:miter lim="400000"/>
                          </a:ln>
                          <a:effectLst/>
                        </pic:spPr>
                      </pic:pic>
                    </a:graphicData>
                  </a:graphic>
                </wp:inline>
              </w:drawing>
            </w:r>
            <w:r>
              <w:rPr>
                <w:rStyle w:val="None"/>
                <w:rFonts w:ascii="Aptos" w:cs="Aptos" w:hAnsi="Aptos" w:eastAsia="Aptos"/>
                <w:shd w:val="clear" w:color="auto" w:fill="ffffff"/>
                <w:lang w:val="en-US"/>
              </w:rPr>
              <w:br w:type="textWrapping"/>
            </w:r>
          </w:p>
        </w:tc>
        <w:tc>
          <w:tcPr>
            <w:tcW w:type="dxa" w:w="69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rPr>
                <w:rStyle w:val="None"/>
                <w:rFonts w:ascii="Arial" w:cs="Arial" w:hAnsi="Arial" w:eastAsia="Arial"/>
                <w:shd w:val="nil" w:color="auto" w:fill="auto"/>
                <w:lang w:val="en-US"/>
              </w:rPr>
            </w:pPr>
          </w:p>
          <w:p>
            <w:pPr>
              <w:pStyle w:val="Body"/>
              <w:spacing w:after="0" w:line="240" w:lineRule="auto"/>
              <w:rPr>
                <w:rStyle w:val="None"/>
                <w:rFonts w:ascii="Arial" w:cs="Arial" w:hAnsi="Arial" w:eastAsia="Arial"/>
                <w:shd w:val="nil" w:color="auto" w:fill="auto"/>
                <w:lang w:val="en-US"/>
              </w:rPr>
            </w:pPr>
          </w:p>
          <w:p>
            <w:pPr>
              <w:pStyle w:val="Body"/>
              <w:spacing w:after="0" w:line="240" w:lineRule="auto"/>
              <w:rPr>
                <w:rStyle w:val="None"/>
                <w:rFonts w:ascii="Arial" w:cs="Arial" w:hAnsi="Arial" w:eastAsia="Arial"/>
                <w:shd w:val="nil" w:color="auto" w:fill="auto"/>
                <w:lang w:val="en-US"/>
              </w:rPr>
            </w:pPr>
          </w:p>
          <w:p>
            <w:pPr>
              <w:pStyle w:val="Body"/>
              <w:bidi w:val="0"/>
              <w:spacing w:after="0" w:line="240" w:lineRule="auto"/>
              <w:ind w:left="0" w:right="0" w:firstLine="0"/>
              <w:jc w:val="left"/>
              <w:rPr>
                <w:rtl w:val="0"/>
              </w:rPr>
            </w:pPr>
            <w:r>
              <w:rPr>
                <w:rStyle w:val="None"/>
                <w:rFonts w:ascii="Segoe UI" w:cs="Segoe UI" w:hAnsi="Segoe UI" w:eastAsia="Segoe UI"/>
                <w:sz w:val="18"/>
                <w:szCs w:val="18"/>
                <w:shd w:val="clear" w:color="auto" w:fill="ffffff"/>
              </w:rPr>
              <w:drawing xmlns:a="http://schemas.openxmlformats.org/drawingml/2006/main">
                <wp:inline distT="0" distB="0" distL="0" distR="0">
                  <wp:extent cx="3683000" cy="2622550"/>
                  <wp:effectExtent l="0" t="0" r="0" b="0"/>
                  <wp:docPr id="1073741843" name="officeArt object" descr="A group of people sitting around a table, Picture, Picture"/>
                  <wp:cNvGraphicFramePr/>
                  <a:graphic xmlns:a="http://schemas.openxmlformats.org/drawingml/2006/main">
                    <a:graphicData uri="http://schemas.openxmlformats.org/drawingml/2006/picture">
                      <pic:pic xmlns:pic="http://schemas.openxmlformats.org/drawingml/2006/picture">
                        <pic:nvPicPr>
                          <pic:cNvPr id="1073741843" name="A group of people sitting around a table, Picture, Picture" descr="A group of people sitting around a table, Picture, Picture"/>
                          <pic:cNvPicPr>
                            <a:picLocks noChangeAspect="1"/>
                          </pic:cNvPicPr>
                        </pic:nvPicPr>
                        <pic:blipFill>
                          <a:blip r:embed="rId13">
                            <a:extLst/>
                          </a:blip>
                          <a:stretch>
                            <a:fillRect/>
                          </a:stretch>
                        </pic:blipFill>
                        <pic:spPr>
                          <a:xfrm>
                            <a:off x="0" y="0"/>
                            <a:ext cx="3683000" cy="2622550"/>
                          </a:xfrm>
                          <a:prstGeom prst="rect">
                            <a:avLst/>
                          </a:prstGeom>
                          <a:ln w="12700" cap="flat">
                            <a:noFill/>
                            <a:miter lim="400000"/>
                          </a:ln>
                          <a:effectLst/>
                        </pic:spPr>
                      </pic:pic>
                    </a:graphicData>
                  </a:graphic>
                </wp:inline>
              </w:drawing>
            </w:r>
            <w:r>
              <w:rPr>
                <w:rStyle w:val="None"/>
                <w:rFonts w:ascii="Aptos" w:cs="Aptos" w:hAnsi="Aptos" w:eastAsia="Aptos"/>
                <w:shd w:val="clear" w:color="auto" w:fill="ffffff"/>
                <w:lang w:val="en-US"/>
              </w:rPr>
              <w:br w:type="textWrapping"/>
            </w:r>
          </w:p>
        </w:tc>
      </w:tr>
    </w:tbl>
    <w:p>
      <w:pPr>
        <w:pStyle w:val="Body"/>
        <w:widowControl w:val="0"/>
        <w:spacing w:line="240" w:lineRule="auto"/>
        <w:rPr>
          <w:rStyle w:val="None"/>
          <w:rFonts w:ascii="Arial" w:cs="Arial" w:hAnsi="Arial" w:eastAsia="Arial"/>
          <w:outline w:val="0"/>
          <w:color w:val="000000"/>
          <w:u w:color="000000"/>
          <w14:textFill>
            <w14:solidFill>
              <w14:srgbClr w14:val="000000"/>
            </w14:solidFill>
          </w14:textFill>
        </w:rPr>
      </w:pPr>
    </w:p>
    <w:p>
      <w:pPr>
        <w:pStyle w:val="Body"/>
        <w:rPr>
          <w:rStyle w:val="None"/>
          <w:rFonts w:ascii="Arial" w:cs="Arial" w:hAnsi="Arial" w:eastAsia="Arial"/>
          <w:outline w:val="0"/>
          <w:color w:val="000000"/>
          <w:u w:color="000000"/>
          <w14:textFill>
            <w14:solidFill>
              <w14:srgbClr w14:val="000000"/>
            </w14:solidFill>
          </w14:textFill>
        </w:rPr>
      </w:pPr>
    </w:p>
    <w:p>
      <w:pPr>
        <w:pStyle w:val="Body"/>
        <w:rPr>
          <w:rStyle w:val="None"/>
          <w:rFonts w:ascii="Arial" w:cs="Arial" w:hAnsi="Arial" w:eastAsia="Arial"/>
          <w:b w:val="1"/>
          <w:bCs w:val="1"/>
          <w:outline w:val="0"/>
          <w:color w:val="000000"/>
          <w:u w:color="000000"/>
          <w14:textFill>
            <w14:solidFill>
              <w14:srgbClr w14:val="000000"/>
            </w14:solidFill>
          </w14:textFill>
        </w:rPr>
      </w:pPr>
      <w:r>
        <w:rPr>
          <w:rStyle w:val="None"/>
          <w:rFonts w:ascii="Arial" w:hAnsi="Arial"/>
          <w:b w:val="1"/>
          <w:bCs w:val="1"/>
          <w:outline w:val="0"/>
          <w:color w:val="000000"/>
          <w:u w:color="000000"/>
          <w:rtl w:val="0"/>
          <w:lang w:val="de-DE"/>
          <w14:textFill>
            <w14:solidFill>
              <w14:srgbClr w14:val="000000"/>
            </w14:solidFill>
          </w14:textFill>
        </w:rPr>
        <w:t xml:space="preserve">THEME </w:t>
      </w:r>
      <w:r>
        <w:rPr>
          <w:rStyle w:val="None"/>
          <w:rFonts w:ascii="Arial" w:hAnsi="Arial" w:hint="default"/>
          <w:b w:val="1"/>
          <w:bCs w:val="1"/>
          <w:outline w:val="0"/>
          <w:color w:val="000000"/>
          <w:u w:color="000000"/>
          <w:rtl w:val="0"/>
          <w:lang w:val="en-US"/>
          <w14:textFill>
            <w14:solidFill>
              <w14:srgbClr w14:val="000000"/>
            </w14:solidFill>
          </w14:textFill>
        </w:rPr>
        <w:t xml:space="preserve">– </w:t>
      </w:r>
      <w:r>
        <w:rPr>
          <w:rStyle w:val="None"/>
          <w:rFonts w:ascii="Arial" w:hAnsi="Arial"/>
          <w:b w:val="1"/>
          <w:bCs w:val="1"/>
          <w:outline w:val="0"/>
          <w:color w:val="000000"/>
          <w:u w:color="000000"/>
          <w:rtl w:val="0"/>
          <w:lang w:val="de-DE"/>
          <w14:textFill>
            <w14:solidFill>
              <w14:srgbClr w14:val="000000"/>
            </w14:solidFill>
          </w14:textFill>
        </w:rPr>
        <w:t>WHERE WE LIVE (PLACE)</w:t>
      </w:r>
    </w:p>
    <w:p>
      <w:pPr>
        <w:pStyle w:val="Body"/>
        <w:rPr>
          <w:rStyle w:val="None"/>
          <w:rFonts w:ascii="Arial" w:cs="Arial" w:hAnsi="Arial" w:eastAsia="Arial"/>
          <w:b w:val="1"/>
          <w:bCs w:val="1"/>
        </w:rPr>
      </w:pPr>
      <w:r>
        <w:rPr>
          <w:rStyle w:val="None"/>
          <w:rFonts w:ascii="Arial" w:hAnsi="Arial"/>
          <w:b w:val="1"/>
          <w:bCs w:val="1"/>
          <w:rtl w:val="0"/>
          <w:lang w:val="en-US"/>
        </w:rPr>
        <w:t>PLACE OVERVIEW</w:t>
      </w:r>
    </w:p>
    <w:p>
      <w:pPr>
        <w:pStyle w:val="Body"/>
        <w:rPr>
          <w:rStyle w:val="None"/>
          <w:rFonts w:ascii="Arial" w:cs="Arial" w:hAnsi="Arial" w:eastAsia="Arial"/>
        </w:rPr>
      </w:pPr>
      <w:r>
        <w:rPr>
          <w:rStyle w:val="None"/>
          <w:rFonts w:ascii="Arial" w:cs="Arial" w:hAnsi="Arial" w:eastAsia="Arial"/>
        </w:rPr>
        <mc:AlternateContent>
          <mc:Choice Requires="wpg">
            <w:drawing xmlns:a="http://schemas.openxmlformats.org/drawingml/2006/main">
              <wp:anchor distT="0" distB="0" distL="0" distR="0" simplePos="0" relativeHeight="251662336" behindDoc="0" locked="0" layoutInCell="1" allowOverlap="1">
                <wp:simplePos x="0" y="0"/>
                <wp:positionH relativeFrom="column">
                  <wp:posOffset>27296</wp:posOffset>
                </wp:positionH>
                <wp:positionV relativeFrom="line">
                  <wp:posOffset>25656</wp:posOffset>
                </wp:positionV>
                <wp:extent cx="9253181" cy="3411940"/>
                <wp:effectExtent l="0" t="0" r="0" b="0"/>
                <wp:wrapNone/>
                <wp:docPr id="1073741846" name="officeArt object" descr="Rectangle: Rounded Corners 9"/>
                <wp:cNvGraphicFramePr/>
                <a:graphic xmlns:a="http://schemas.openxmlformats.org/drawingml/2006/main">
                  <a:graphicData uri="http://schemas.microsoft.com/office/word/2010/wordprocessingGroup">
                    <wpg:wgp>
                      <wpg:cNvGrpSpPr/>
                      <wpg:grpSpPr>
                        <a:xfrm>
                          <a:off x="0" y="0"/>
                          <a:ext cx="9253181" cy="3411940"/>
                          <a:chOff x="0" y="0"/>
                          <a:chExt cx="9253180" cy="3411939"/>
                        </a:xfrm>
                      </wpg:grpSpPr>
                      <wps:wsp>
                        <wps:cNvPr id="1073741844" name="Rounded Rectangle"/>
                        <wps:cNvSpPr/>
                        <wps:spPr>
                          <a:xfrm>
                            <a:off x="0" y="0"/>
                            <a:ext cx="9253181" cy="3411940"/>
                          </a:xfrm>
                          <a:prstGeom prst="roundRect">
                            <a:avLst>
                              <a:gd name="adj" fmla="val 16667"/>
                            </a:avLst>
                          </a:prstGeom>
                          <a:solidFill>
                            <a:srgbClr val="DCEAF7"/>
                          </a:solidFill>
                          <a:ln w="12700" cap="flat">
                            <a:solidFill>
                              <a:srgbClr val="092937"/>
                            </a:solidFill>
                            <a:prstDash val="solid"/>
                            <a:miter lim="800000"/>
                          </a:ln>
                          <a:effectLst/>
                        </wps:spPr>
                        <wps:bodyPr/>
                      </wps:wsp>
                      <wps:wsp>
                        <wps:cNvPr id="1073741845" name="Dumfries and Galloway continues to face challenges compared with other local authority areas. Although full fibre broadband coverage is increasing – currently at 26% - it remains significantly below the national average. Additionally, the proportion of b"/>
                        <wps:cNvSpPr txBox="1"/>
                        <wps:spPr>
                          <a:xfrm>
                            <a:off x="218626" y="172906"/>
                            <a:ext cx="8815929" cy="3066127"/>
                          </a:xfrm>
                          <a:prstGeom prst="rect">
                            <a:avLst/>
                          </a:prstGeom>
                          <a:noFill/>
                          <a:ln w="12700" cap="flat">
                            <a:noFill/>
                            <a:miter lim="400000"/>
                          </a:ln>
                          <a:effectLst/>
                        </wps:spPr>
                        <wps:txbx>
                          <w:txbxContent>
                            <w:p>
                              <w:pPr>
                                <w:pStyle w:val="Body"/>
                                <w:rPr>
                                  <w:rStyle w:val="None"/>
                                  <w:rFonts w:ascii="Arial" w:cs="Arial" w:hAnsi="Arial" w:eastAsia="Arial"/>
                                  <w:outline w:val="0"/>
                                  <w:color w:val="000000"/>
                                  <w:u w:color="000000"/>
                                  <w14:textFill>
                                    <w14:solidFill>
                                      <w14:srgbClr w14:val="000000"/>
                                    </w14:solidFill>
                                  </w14:textFill>
                                </w:rPr>
                              </w:pPr>
                              <w:r>
                                <w:rPr>
                                  <w:rStyle w:val="None"/>
                                  <w:rFonts w:ascii="Arial" w:hAnsi="Arial"/>
                                  <w:outline w:val="0"/>
                                  <w:color w:val="000000"/>
                                  <w:u w:color="000000"/>
                                  <w:rtl w:val="0"/>
                                  <w:lang w:val="en-US"/>
                                  <w14:textFill>
                                    <w14:solidFill>
                                      <w14:srgbClr w14:val="000000"/>
                                    </w14:solidFill>
                                  </w14:textFill>
                                </w:rPr>
                                <w:t xml:space="preserve">Dumfries and Galloway continues to face challenges compared with other local authority areas. Although full fibre broadband coverage is increasing </w:t>
                              </w:r>
                              <w:r>
                                <w:rPr>
                                  <w:rStyle w:val="None"/>
                                  <w:rFonts w:ascii="Arial" w:hAnsi="Arial" w:hint="default"/>
                                  <w:outline w:val="0"/>
                                  <w:color w:val="000000"/>
                                  <w:u w:color="000000"/>
                                  <w:rtl w:val="0"/>
                                  <w:lang w:val="en-US"/>
                                  <w14:textFill>
                                    <w14:solidFill>
                                      <w14:srgbClr w14:val="000000"/>
                                    </w14:solidFill>
                                  </w14:textFill>
                                </w:rPr>
                                <w:t xml:space="preserve">– </w:t>
                              </w:r>
                              <w:r>
                                <w:rPr>
                                  <w:rStyle w:val="None"/>
                                  <w:rFonts w:ascii="Arial" w:hAnsi="Arial"/>
                                  <w:outline w:val="0"/>
                                  <w:color w:val="000000"/>
                                  <w:u w:color="000000"/>
                                  <w:rtl w:val="0"/>
                                  <w:lang w:val="en-US"/>
                                  <w14:textFill>
                                    <w14:solidFill>
                                      <w14:srgbClr w14:val="000000"/>
                                    </w14:solidFill>
                                  </w14:textFill>
                                </w:rPr>
                                <w:t>currently at 26% - it remains significantly below the national average. Additionally, the proportion of business premises unable to access broadband speeds of at least 10Mbps is 2% higher than the national average, highlighting ongoing digital connectivity issues.</w:t>
                              </w:r>
                            </w:p>
                            <w:p>
                              <w:pPr>
                                <w:pStyle w:val="Body"/>
                                <w:rPr>
                                  <w:rStyle w:val="None"/>
                                  <w:rFonts w:ascii="Arial" w:cs="Arial" w:hAnsi="Arial" w:eastAsia="Arial"/>
                                  <w:outline w:val="0"/>
                                  <w:color w:val="000000"/>
                                  <w:u w:color="000000"/>
                                  <w14:textFill>
                                    <w14:solidFill>
                                      <w14:srgbClr w14:val="000000"/>
                                    </w14:solidFill>
                                  </w14:textFill>
                                </w:rPr>
                              </w:pPr>
                              <w:r>
                                <w:rPr>
                                  <w:rStyle w:val="None"/>
                                  <w:rFonts w:ascii="Arial" w:hAnsi="Arial"/>
                                  <w:outline w:val="0"/>
                                  <w:color w:val="000000"/>
                                  <w:u w:color="000000"/>
                                  <w:rtl w:val="0"/>
                                  <w:lang w:val="en-US"/>
                                  <w14:textFill>
                                    <w14:solidFill>
                                      <w14:srgbClr w14:val="000000"/>
                                    </w14:solidFill>
                                  </w14:textFill>
                                </w:rPr>
                                <w:t xml:space="preserve">Access deprivation is another key concern. The latest SIMD data shows that 33.31% of the population live in the 15% most access-deprived areas </w:t>
                              </w:r>
                              <w:r>
                                <w:rPr>
                                  <w:rStyle w:val="None"/>
                                  <w:rFonts w:ascii="Arial" w:hAnsi="Arial" w:hint="default"/>
                                  <w:outline w:val="0"/>
                                  <w:color w:val="000000"/>
                                  <w:u w:color="000000"/>
                                  <w:rtl w:val="0"/>
                                  <w:lang w:val="en-US"/>
                                  <w14:textFill>
                                    <w14:solidFill>
                                      <w14:srgbClr w14:val="000000"/>
                                    </w14:solidFill>
                                  </w14:textFill>
                                </w:rPr>
                                <w:t xml:space="preserve">– </w:t>
                              </w:r>
                              <w:r>
                                <w:rPr>
                                  <w:rStyle w:val="None"/>
                                  <w:rFonts w:ascii="Arial" w:hAnsi="Arial"/>
                                  <w:outline w:val="0"/>
                                  <w:color w:val="000000"/>
                                  <w:u w:color="000000"/>
                                  <w:rtl w:val="0"/>
                                  <w:lang w:val="en-US"/>
                                  <w14:textFill>
                                    <w14:solidFill>
                                      <w14:srgbClr w14:val="000000"/>
                                    </w14:solidFill>
                                  </w14:textFill>
                                </w:rPr>
                                <w:t>twice the national average. This reflects the differences rural communities face in accessing employment, education, healthcare, leisure, and transport services.</w:t>
                              </w:r>
                            </w:p>
                            <w:p>
                              <w:pPr>
                                <w:pStyle w:val="Body"/>
                              </w:pPr>
                              <w:r>
                                <w:rPr>
                                  <w:rStyle w:val="None"/>
                                  <w:rFonts w:ascii="Arial" w:hAnsi="Arial"/>
                                  <w:outline w:val="0"/>
                                  <w:color w:val="000000"/>
                                  <w:u w:color="000000"/>
                                  <w:rtl w:val="0"/>
                                  <w:lang w:val="en-US"/>
                                  <w14:textFill>
                                    <w14:solidFill>
                                      <w14:srgbClr w14:val="000000"/>
                                    </w14:solidFill>
                                  </w14:textFill>
                                </w:rPr>
                                <w:t xml:space="preserve">On a more positive note, recycling rates have improved significantly over the past 5 years and are now approaching the national average. Similarly, the proportion of households with an environmental certificate rated </w:t>
                              </w:r>
                              <w:r>
                                <w:rPr>
                                  <w:rStyle w:val="None"/>
                                  <w:rFonts w:ascii="Arial" w:hAnsi="Arial" w:hint="default"/>
                                  <w:outline w:val="0"/>
                                  <w:color w:val="000000"/>
                                  <w:u w:color="000000"/>
                                  <w:rtl w:val="0"/>
                                  <w:lang w:val="en-US"/>
                                  <w14:textFill>
                                    <w14:solidFill>
                                      <w14:srgbClr w14:val="000000"/>
                                    </w14:solidFill>
                                  </w14:textFill>
                                </w:rPr>
                                <w:t>“</w:t>
                              </w:r>
                              <w:r>
                                <w:rPr>
                                  <w:rStyle w:val="None"/>
                                  <w:rFonts w:ascii="Arial" w:hAnsi="Arial"/>
                                  <w:outline w:val="0"/>
                                  <w:color w:val="000000"/>
                                  <w:u w:color="000000"/>
                                  <w:rtl w:val="0"/>
                                  <w14:textFill>
                                    <w14:solidFill>
                                      <w14:srgbClr w14:val="000000"/>
                                    </w14:solidFill>
                                  </w14:textFill>
                                </w:rPr>
                                <w:t>C</w:t>
                              </w:r>
                              <w:r>
                                <w:rPr>
                                  <w:rStyle w:val="None"/>
                                  <w:rFonts w:ascii="Arial" w:hAnsi="Arial" w:hint="default"/>
                                  <w:outline w:val="0"/>
                                  <w:color w:val="000000"/>
                                  <w:u w:color="000000"/>
                                  <w:rtl w:val="0"/>
                                  <w:lang w:val="en-US"/>
                                  <w14:textFill>
                                    <w14:solidFill>
                                      <w14:srgbClr w14:val="000000"/>
                                    </w14:solidFill>
                                  </w14:textFill>
                                </w:rPr>
                                <w:t xml:space="preserve">” </w:t>
                              </w:r>
                              <w:r>
                                <w:rPr>
                                  <w:rStyle w:val="None"/>
                                  <w:rFonts w:ascii="Arial" w:hAnsi="Arial"/>
                                  <w:outline w:val="0"/>
                                  <w:color w:val="000000"/>
                                  <w:u w:color="000000"/>
                                  <w:rtl w:val="0"/>
                                  <w:lang w:val="en-US"/>
                                  <w14:textFill>
                                    <w14:solidFill>
                                      <w14:srgbClr w14:val="000000"/>
                                    </w14:solidFill>
                                  </w14:textFill>
                                </w:rPr>
                                <w:t>or above has increased by 9% over the same period. However, this still sits 15% below the national average, indicating further scope for improvement in energy efficiency.</w:t>
                              </w:r>
                            </w:p>
                          </w:txbxContent>
                        </wps:txbx>
                        <wps:bodyPr wrap="square" lIns="45719" tIns="45719" rIns="45719" bIns="45719" numCol="1" anchor="ctr">
                          <a:noAutofit/>
                        </wps:bodyPr>
                      </wps:wsp>
                    </wpg:wgp>
                  </a:graphicData>
                </a:graphic>
              </wp:anchor>
            </w:drawing>
          </mc:Choice>
          <mc:Fallback>
            <w:pict>
              <v:group id="_x0000_s1033" style="visibility:visible;position:absolute;margin-left:2.1pt;margin-top:2.0pt;width:728.6pt;height:268.7pt;z-index:251662336;mso-position-horizontal:absolute;mso-position-horizontal-relative:text;mso-position-vertical:absolute;mso-position-vertical-relative:line;mso-wrap-distance-left:0.0pt;mso-wrap-distance-top:0.0pt;mso-wrap-distance-right:0.0pt;mso-wrap-distance-bottom:0.0pt;" coordorigin="0,0" coordsize="9253181,3411940">
                <w10:wrap type="none" side="bothSides" anchorx="text"/>
                <v:roundrect id="_x0000_s1034" style="position:absolute;left:0;top:0;width:9253181;height:3411940;" adj="3600">
                  <v:fill color="#DCEAF7" opacity="100.0%" type="solid"/>
                  <v:stroke filltype="solid" color="#092937" opacity="100.0%" weight="1.0pt" dashstyle="solid" endcap="flat" miterlimit="800.0%" joinstyle="miter" linestyle="single" startarrow="none" startarrowwidth="medium" startarrowlength="medium" endarrow="none" endarrowwidth="medium" endarrowlength="medium"/>
                </v:roundrect>
                <v:shape id="_x0000_s1035" type="#_x0000_t202" style="position:absolute;left:218627;top:172907;width:8815927;height:3066125;">
                  <v:fill on="f"/>
                  <v:stroke on="f" weight="1.0pt" dashstyle="solid" endcap="flat" miterlimit="400.0%" joinstyle="miter" linestyle="single" startarrow="none" startarrowwidth="medium" startarrowlength="medium" endarrow="none" endarrowwidth="medium" endarrowlength="medium"/>
                  <v:textbox>
                    <w:txbxContent>
                      <w:p>
                        <w:pPr>
                          <w:pStyle w:val="Body"/>
                          <w:rPr>
                            <w:rStyle w:val="None"/>
                            <w:rFonts w:ascii="Arial" w:cs="Arial" w:hAnsi="Arial" w:eastAsia="Arial"/>
                            <w:outline w:val="0"/>
                            <w:color w:val="000000"/>
                            <w:u w:color="000000"/>
                            <w14:textFill>
                              <w14:solidFill>
                                <w14:srgbClr w14:val="000000"/>
                              </w14:solidFill>
                            </w14:textFill>
                          </w:rPr>
                        </w:pPr>
                        <w:r>
                          <w:rPr>
                            <w:rStyle w:val="None"/>
                            <w:rFonts w:ascii="Arial" w:hAnsi="Arial"/>
                            <w:outline w:val="0"/>
                            <w:color w:val="000000"/>
                            <w:u w:color="000000"/>
                            <w:rtl w:val="0"/>
                            <w:lang w:val="en-US"/>
                            <w14:textFill>
                              <w14:solidFill>
                                <w14:srgbClr w14:val="000000"/>
                              </w14:solidFill>
                            </w14:textFill>
                          </w:rPr>
                          <w:t xml:space="preserve">Dumfries and Galloway continues to face challenges compared with other local authority areas. Although full fibre broadband coverage is increasing </w:t>
                        </w:r>
                        <w:r>
                          <w:rPr>
                            <w:rStyle w:val="None"/>
                            <w:rFonts w:ascii="Arial" w:hAnsi="Arial" w:hint="default"/>
                            <w:outline w:val="0"/>
                            <w:color w:val="000000"/>
                            <w:u w:color="000000"/>
                            <w:rtl w:val="0"/>
                            <w:lang w:val="en-US"/>
                            <w14:textFill>
                              <w14:solidFill>
                                <w14:srgbClr w14:val="000000"/>
                              </w14:solidFill>
                            </w14:textFill>
                          </w:rPr>
                          <w:t xml:space="preserve">– </w:t>
                        </w:r>
                        <w:r>
                          <w:rPr>
                            <w:rStyle w:val="None"/>
                            <w:rFonts w:ascii="Arial" w:hAnsi="Arial"/>
                            <w:outline w:val="0"/>
                            <w:color w:val="000000"/>
                            <w:u w:color="000000"/>
                            <w:rtl w:val="0"/>
                            <w:lang w:val="en-US"/>
                            <w14:textFill>
                              <w14:solidFill>
                                <w14:srgbClr w14:val="000000"/>
                              </w14:solidFill>
                            </w14:textFill>
                          </w:rPr>
                          <w:t>currently at 26% - it remains significantly below the national average. Additionally, the proportion of business premises unable to access broadband speeds of at least 10Mbps is 2% higher than the national average, highlighting ongoing digital connectivity issues.</w:t>
                        </w:r>
                      </w:p>
                      <w:p>
                        <w:pPr>
                          <w:pStyle w:val="Body"/>
                          <w:rPr>
                            <w:rStyle w:val="None"/>
                            <w:rFonts w:ascii="Arial" w:cs="Arial" w:hAnsi="Arial" w:eastAsia="Arial"/>
                            <w:outline w:val="0"/>
                            <w:color w:val="000000"/>
                            <w:u w:color="000000"/>
                            <w14:textFill>
                              <w14:solidFill>
                                <w14:srgbClr w14:val="000000"/>
                              </w14:solidFill>
                            </w14:textFill>
                          </w:rPr>
                        </w:pPr>
                        <w:r>
                          <w:rPr>
                            <w:rStyle w:val="None"/>
                            <w:rFonts w:ascii="Arial" w:hAnsi="Arial"/>
                            <w:outline w:val="0"/>
                            <w:color w:val="000000"/>
                            <w:u w:color="000000"/>
                            <w:rtl w:val="0"/>
                            <w:lang w:val="en-US"/>
                            <w14:textFill>
                              <w14:solidFill>
                                <w14:srgbClr w14:val="000000"/>
                              </w14:solidFill>
                            </w14:textFill>
                          </w:rPr>
                          <w:t xml:space="preserve">Access deprivation is another key concern. The latest SIMD data shows that 33.31% of the population live in the 15% most access-deprived areas </w:t>
                        </w:r>
                        <w:r>
                          <w:rPr>
                            <w:rStyle w:val="None"/>
                            <w:rFonts w:ascii="Arial" w:hAnsi="Arial" w:hint="default"/>
                            <w:outline w:val="0"/>
                            <w:color w:val="000000"/>
                            <w:u w:color="000000"/>
                            <w:rtl w:val="0"/>
                            <w:lang w:val="en-US"/>
                            <w14:textFill>
                              <w14:solidFill>
                                <w14:srgbClr w14:val="000000"/>
                              </w14:solidFill>
                            </w14:textFill>
                          </w:rPr>
                          <w:t xml:space="preserve">– </w:t>
                        </w:r>
                        <w:r>
                          <w:rPr>
                            <w:rStyle w:val="None"/>
                            <w:rFonts w:ascii="Arial" w:hAnsi="Arial"/>
                            <w:outline w:val="0"/>
                            <w:color w:val="000000"/>
                            <w:u w:color="000000"/>
                            <w:rtl w:val="0"/>
                            <w:lang w:val="en-US"/>
                            <w14:textFill>
                              <w14:solidFill>
                                <w14:srgbClr w14:val="000000"/>
                              </w14:solidFill>
                            </w14:textFill>
                          </w:rPr>
                          <w:t>twice the national average. This reflects the differences rural communities face in accessing employment, education, healthcare, leisure, and transport services.</w:t>
                        </w:r>
                      </w:p>
                      <w:p>
                        <w:pPr>
                          <w:pStyle w:val="Body"/>
                        </w:pPr>
                        <w:r>
                          <w:rPr>
                            <w:rStyle w:val="None"/>
                            <w:rFonts w:ascii="Arial" w:hAnsi="Arial"/>
                            <w:outline w:val="0"/>
                            <w:color w:val="000000"/>
                            <w:u w:color="000000"/>
                            <w:rtl w:val="0"/>
                            <w:lang w:val="en-US"/>
                            <w14:textFill>
                              <w14:solidFill>
                                <w14:srgbClr w14:val="000000"/>
                              </w14:solidFill>
                            </w14:textFill>
                          </w:rPr>
                          <w:t xml:space="preserve">On a more positive note, recycling rates have improved significantly over the past 5 years and are now approaching the national average. Similarly, the proportion of households with an environmental certificate rated </w:t>
                        </w:r>
                        <w:r>
                          <w:rPr>
                            <w:rStyle w:val="None"/>
                            <w:rFonts w:ascii="Arial" w:hAnsi="Arial" w:hint="default"/>
                            <w:outline w:val="0"/>
                            <w:color w:val="000000"/>
                            <w:u w:color="000000"/>
                            <w:rtl w:val="0"/>
                            <w:lang w:val="en-US"/>
                            <w14:textFill>
                              <w14:solidFill>
                                <w14:srgbClr w14:val="000000"/>
                              </w14:solidFill>
                            </w14:textFill>
                          </w:rPr>
                          <w:t>“</w:t>
                        </w:r>
                        <w:r>
                          <w:rPr>
                            <w:rStyle w:val="None"/>
                            <w:rFonts w:ascii="Arial" w:hAnsi="Arial"/>
                            <w:outline w:val="0"/>
                            <w:color w:val="000000"/>
                            <w:u w:color="000000"/>
                            <w:rtl w:val="0"/>
                            <w14:textFill>
                              <w14:solidFill>
                                <w14:srgbClr w14:val="000000"/>
                              </w14:solidFill>
                            </w14:textFill>
                          </w:rPr>
                          <w:t>C</w:t>
                        </w:r>
                        <w:r>
                          <w:rPr>
                            <w:rStyle w:val="None"/>
                            <w:rFonts w:ascii="Arial" w:hAnsi="Arial" w:hint="default"/>
                            <w:outline w:val="0"/>
                            <w:color w:val="000000"/>
                            <w:u w:color="000000"/>
                            <w:rtl w:val="0"/>
                            <w:lang w:val="en-US"/>
                            <w14:textFill>
                              <w14:solidFill>
                                <w14:srgbClr w14:val="000000"/>
                              </w14:solidFill>
                            </w14:textFill>
                          </w:rPr>
                          <w:t xml:space="preserve">” </w:t>
                        </w:r>
                        <w:r>
                          <w:rPr>
                            <w:rStyle w:val="None"/>
                            <w:rFonts w:ascii="Arial" w:hAnsi="Arial"/>
                            <w:outline w:val="0"/>
                            <w:color w:val="000000"/>
                            <w:u w:color="000000"/>
                            <w:rtl w:val="0"/>
                            <w:lang w:val="en-US"/>
                            <w14:textFill>
                              <w14:solidFill>
                                <w14:srgbClr w14:val="000000"/>
                              </w14:solidFill>
                            </w14:textFill>
                          </w:rPr>
                          <w:t>or above has increased by 9% over the same period. However, this still sits 15% below the national average, indicating further scope for improvement in energy efficiency.</w:t>
                        </w:r>
                      </w:p>
                    </w:txbxContent>
                  </v:textbox>
                </v:shape>
              </v:group>
            </w:pict>
          </mc:Fallback>
        </mc:AlternateContent>
      </w:r>
    </w:p>
    <w:p>
      <w:pPr>
        <w:pStyle w:val="Body"/>
        <w:rPr>
          <w:rStyle w:val="None"/>
          <w:rFonts w:ascii="Arial" w:cs="Arial" w:hAnsi="Arial" w:eastAsia="Arial"/>
          <w:b w:val="1"/>
          <w:bCs w:val="1"/>
        </w:rPr>
      </w:pPr>
    </w:p>
    <w:p>
      <w:pPr>
        <w:pStyle w:val="Body"/>
        <w:rPr>
          <w:rStyle w:val="None"/>
          <w:rFonts w:ascii="Arial" w:cs="Arial" w:hAnsi="Arial" w:eastAsia="Arial"/>
          <w:b w:val="1"/>
          <w:bCs w:val="1"/>
        </w:rPr>
      </w:pPr>
    </w:p>
    <w:p>
      <w:pPr>
        <w:pStyle w:val="Body"/>
        <w:rPr>
          <w:rStyle w:val="None"/>
          <w:rFonts w:ascii="Arial" w:cs="Arial" w:hAnsi="Arial" w:eastAsia="Arial"/>
          <w:b w:val="1"/>
          <w:bCs w:val="1"/>
        </w:rPr>
      </w:pPr>
    </w:p>
    <w:p>
      <w:pPr>
        <w:pStyle w:val="Body"/>
        <w:rPr>
          <w:rStyle w:val="None"/>
          <w:rFonts w:ascii="Arial" w:cs="Arial" w:hAnsi="Arial" w:eastAsia="Arial"/>
          <w:b w:val="1"/>
          <w:bCs w:val="1"/>
        </w:rPr>
      </w:pPr>
    </w:p>
    <w:p>
      <w:pPr>
        <w:pStyle w:val="Body"/>
        <w:rPr>
          <w:rStyle w:val="None"/>
          <w:rFonts w:ascii="Arial" w:cs="Arial" w:hAnsi="Arial" w:eastAsia="Arial"/>
          <w:b w:val="1"/>
          <w:bCs w:val="1"/>
        </w:rPr>
      </w:pPr>
    </w:p>
    <w:p>
      <w:pPr>
        <w:pStyle w:val="Body"/>
        <w:rPr>
          <w:rStyle w:val="None"/>
          <w:rFonts w:ascii="Arial" w:cs="Arial" w:hAnsi="Arial" w:eastAsia="Arial"/>
          <w:b w:val="1"/>
          <w:bCs w:val="1"/>
        </w:rPr>
      </w:pPr>
    </w:p>
    <w:p>
      <w:pPr>
        <w:pStyle w:val="Body"/>
        <w:rPr>
          <w:rStyle w:val="None"/>
          <w:rFonts w:ascii="Arial" w:cs="Arial" w:hAnsi="Arial" w:eastAsia="Arial"/>
          <w:b w:val="1"/>
          <w:bCs w:val="1"/>
        </w:rPr>
      </w:pPr>
    </w:p>
    <w:p>
      <w:pPr>
        <w:pStyle w:val="Body"/>
        <w:rPr>
          <w:rStyle w:val="None"/>
          <w:rFonts w:ascii="Arial" w:cs="Arial" w:hAnsi="Arial" w:eastAsia="Arial"/>
          <w:b w:val="1"/>
          <w:bCs w:val="1"/>
        </w:rPr>
      </w:pPr>
    </w:p>
    <w:p>
      <w:pPr>
        <w:pStyle w:val="Body"/>
        <w:rPr>
          <w:rStyle w:val="None"/>
          <w:rFonts w:ascii="Arial" w:cs="Arial" w:hAnsi="Arial" w:eastAsia="Arial"/>
          <w:b w:val="1"/>
          <w:bCs w:val="1"/>
        </w:rPr>
      </w:pPr>
    </w:p>
    <w:p>
      <w:pPr>
        <w:pStyle w:val="Body"/>
        <w:rPr>
          <w:rStyle w:val="None"/>
          <w:rFonts w:ascii="Arial" w:cs="Arial" w:hAnsi="Arial" w:eastAsia="Arial"/>
          <w:b w:val="1"/>
          <w:bCs w:val="1"/>
        </w:rPr>
      </w:pPr>
    </w:p>
    <w:p>
      <w:pPr>
        <w:pStyle w:val="Body"/>
        <w:rPr>
          <w:rStyle w:val="None"/>
          <w:rFonts w:ascii="Arial" w:cs="Arial" w:hAnsi="Arial" w:eastAsia="Arial"/>
          <w:b w:val="1"/>
          <w:bCs w:val="1"/>
        </w:rPr>
      </w:pPr>
    </w:p>
    <w:p>
      <w:pPr>
        <w:pStyle w:val="Body"/>
        <w:rPr>
          <w:rStyle w:val="None"/>
          <w:rFonts w:ascii="Arial" w:cs="Arial" w:hAnsi="Arial" w:eastAsia="Arial"/>
          <w:b w:val="1"/>
          <w:bCs w:val="1"/>
        </w:rPr>
      </w:pPr>
    </w:p>
    <w:p>
      <w:pPr>
        <w:pStyle w:val="Body"/>
        <w:rPr>
          <w:rStyle w:val="None"/>
          <w:rFonts w:ascii="Arial" w:cs="Arial" w:hAnsi="Arial" w:eastAsia="Arial"/>
          <w:b w:val="1"/>
          <w:bCs w:val="1"/>
        </w:rPr>
      </w:pPr>
    </w:p>
    <w:p>
      <w:pPr>
        <w:pStyle w:val="Body"/>
        <w:rPr>
          <w:rStyle w:val="None"/>
          <w:rFonts w:ascii="Arial" w:cs="Arial" w:hAnsi="Arial" w:eastAsia="Arial"/>
          <w:b w:val="1"/>
          <w:bCs w:val="1"/>
        </w:rPr>
      </w:pPr>
    </w:p>
    <w:p>
      <w:pPr>
        <w:pStyle w:val="Body"/>
        <w:rPr>
          <w:rStyle w:val="None"/>
          <w:rFonts w:ascii="Arial" w:cs="Arial" w:hAnsi="Arial" w:eastAsia="Arial"/>
        </w:rPr>
      </w:pPr>
    </w:p>
    <w:p>
      <w:pPr>
        <w:pStyle w:val="Body"/>
        <w:rPr>
          <w:rStyle w:val="None"/>
          <w:rFonts w:ascii="Arial" w:cs="Arial" w:hAnsi="Arial" w:eastAsia="Arial"/>
        </w:rPr>
      </w:pPr>
    </w:p>
    <w:p>
      <w:pPr>
        <w:pStyle w:val="Body"/>
        <w:rPr>
          <w:rStyle w:val="None"/>
          <w:rFonts w:ascii="Arial" w:cs="Arial" w:hAnsi="Arial" w:eastAsia="Arial"/>
          <w:b w:val="1"/>
          <w:bCs w:val="1"/>
          <w:u w:val="single"/>
        </w:rPr>
      </w:pPr>
      <w:r>
        <w:rPr>
          <w:rStyle w:val="None"/>
          <w:rFonts w:ascii="Arial" w:hAnsi="Arial"/>
          <w:b w:val="1"/>
          <w:bCs w:val="1"/>
          <w:u w:val="single"/>
          <w:rtl w:val="0"/>
          <w:lang w:val="en-US"/>
        </w:rPr>
        <w:t>Examples of Climate related activity</w:t>
      </w:r>
    </w:p>
    <w:p>
      <w:pPr>
        <w:pStyle w:val="Body"/>
        <w:spacing w:after="0" w:line="300" w:lineRule="atLeast"/>
        <w:outlineLvl w:val="1"/>
        <w:rPr>
          <w:rStyle w:val="None"/>
          <w:rFonts w:ascii="Arial" w:cs="Arial" w:hAnsi="Arial" w:eastAsia="Arial"/>
          <w:kern w:val="0"/>
          <w:u w:val="single"/>
        </w:rPr>
      </w:pPr>
      <w:r>
        <w:rPr>
          <w:rStyle w:val="None"/>
          <w:rFonts w:ascii="Arial" w:hAnsi="Arial"/>
          <w:kern w:val="0"/>
          <w:u w:val="single"/>
          <w:rtl w:val="0"/>
          <w:lang w:val="it-IT"/>
        </w:rPr>
        <w:t>Natural Capital Innovation Zone (NCIZ)</w:t>
      </w:r>
    </w:p>
    <w:p>
      <w:pPr>
        <w:pStyle w:val="Body"/>
        <w:spacing w:after="0" w:line="300" w:lineRule="atLeast"/>
        <w:rPr>
          <w:rStyle w:val="None"/>
          <w:rFonts w:ascii="Arial" w:cs="Arial" w:hAnsi="Arial" w:eastAsia="Arial"/>
          <w:kern w:val="0"/>
        </w:rPr>
      </w:pPr>
      <w:r>
        <w:rPr>
          <w:rStyle w:val="None"/>
          <w:rFonts w:ascii="Arial" w:hAnsi="Arial"/>
          <w:kern w:val="0"/>
          <w:rtl w:val="0"/>
          <w:lang w:val="en-US"/>
        </w:rPr>
        <w:t xml:space="preserve">The NCIZ is a Scottish Government designation covering the South of Scotland, officially awarded in 2024. It positions Dumfries &amp; Galloway and the Scottish Borders as a </w:t>
      </w:r>
      <w:r>
        <w:rPr>
          <w:rStyle w:val="None"/>
          <w:rFonts w:ascii="Arial" w:hAnsi="Arial" w:hint="default"/>
          <w:kern w:val="0"/>
          <w:rtl w:val="0"/>
          <w:lang w:val="en-US"/>
        </w:rPr>
        <w:t>“</w:t>
      </w:r>
      <w:r>
        <w:rPr>
          <w:rStyle w:val="None"/>
          <w:rFonts w:ascii="Arial" w:hAnsi="Arial"/>
          <w:kern w:val="0"/>
          <w:rtl w:val="0"/>
          <w:lang w:val="en-US"/>
        </w:rPr>
        <w:t>living lab and learning hub</w:t>
      </w:r>
      <w:r>
        <w:rPr>
          <w:rStyle w:val="None"/>
          <w:rFonts w:ascii="Arial" w:hAnsi="Arial" w:hint="default"/>
          <w:kern w:val="0"/>
          <w:rtl w:val="0"/>
          <w:lang w:val="en-US"/>
        </w:rPr>
        <w:t xml:space="preserve">” </w:t>
      </w:r>
      <w:r>
        <w:rPr>
          <w:rStyle w:val="None"/>
          <w:rFonts w:ascii="Arial" w:hAnsi="Arial"/>
          <w:kern w:val="0"/>
          <w:rtl w:val="0"/>
          <w:lang w:val="en-US"/>
        </w:rPr>
        <w:t>for climate and nature-positive innovation. The NCIZ is designed to accelerate solutions to biodiversity loss and climate change, supporting a green, fair, and flourishing regional economy.</w:t>
      </w:r>
      <w:r>
        <w:rPr>
          <w:rStyle w:val="None"/>
          <w:rFonts w:ascii="Arial" w:cs="Arial" w:hAnsi="Arial" w:eastAsia="Arial"/>
          <w:kern w:val="0"/>
        </w:rPr>
        <w:br w:type="textWrapping"/>
      </w:r>
      <w:r>
        <w:rPr>
          <w:rStyle w:val="None"/>
          <w:rFonts w:ascii="Arial" w:hAnsi="Arial"/>
          <w:kern w:val="0"/>
          <w:rtl w:val="0"/>
          <w:lang w:val="en-US"/>
        </w:rPr>
        <w:t>Key features include:</w:t>
      </w:r>
    </w:p>
    <w:p>
      <w:pPr>
        <w:pStyle w:val="Body"/>
        <w:spacing w:before="100" w:after="100" w:line="300" w:lineRule="atLeast"/>
        <w:ind w:left="720" w:firstLine="0"/>
        <w:rPr>
          <w:rStyle w:val="None"/>
          <w:rFonts w:ascii="Arial" w:cs="Arial" w:hAnsi="Arial" w:eastAsia="Arial"/>
          <w:kern w:val="0"/>
        </w:rPr>
      </w:pPr>
      <w:r>
        <w:rPr>
          <w:rStyle w:val="None"/>
          <w:rFonts w:ascii="Arial" w:hAnsi="Arial"/>
          <w:b w:val="1"/>
          <w:bCs w:val="1"/>
          <w:kern w:val="0"/>
          <w:rtl w:val="0"/>
          <w:lang w:val="en-US"/>
        </w:rPr>
        <w:t>Landscape-scale nature-based solutions</w:t>
      </w:r>
      <w:r>
        <w:rPr>
          <w:rStyle w:val="None"/>
          <w:rFonts w:ascii="Arial" w:hAnsi="Arial"/>
          <w:kern w:val="0"/>
          <w:rtl w:val="0"/>
          <w:lang w:val="en-US"/>
        </w:rPr>
        <w:t>: Investment and innovation address market failures and create new opportunities, shifting traditional economic models towards a wellbeing economy.</w:t>
      </w:r>
    </w:p>
    <w:p>
      <w:pPr>
        <w:pStyle w:val="Body"/>
        <w:spacing w:before="100" w:after="100" w:line="300" w:lineRule="atLeast"/>
        <w:ind w:left="720" w:firstLine="0"/>
        <w:rPr>
          <w:rStyle w:val="None"/>
          <w:rFonts w:ascii="Arial" w:cs="Arial" w:hAnsi="Arial" w:eastAsia="Arial"/>
          <w:kern w:val="0"/>
        </w:rPr>
      </w:pPr>
      <w:r>
        <w:rPr>
          <w:rStyle w:val="None"/>
          <w:rFonts w:ascii="Arial" w:hAnsi="Arial"/>
          <w:b w:val="1"/>
          <w:bCs w:val="1"/>
          <w:kern w:val="0"/>
          <w:rtl w:val="0"/>
          <w:lang w:val="en-US"/>
        </w:rPr>
        <w:t>Guiding principles</w:t>
      </w:r>
      <w:r>
        <w:rPr>
          <w:rStyle w:val="None"/>
          <w:rFonts w:ascii="Arial" w:hAnsi="Arial"/>
          <w:kern w:val="0"/>
          <w:rtl w:val="0"/>
          <w:lang w:val="en-US"/>
        </w:rPr>
        <w:t>: Circular Economy (designing out waste and regenerating nature), Creativity (arts, storytelling, and innovation to shift culture), and Community Wealth Building (ensuring local people benefit from nature-positive change).</w:t>
      </w:r>
    </w:p>
    <w:p>
      <w:pPr>
        <w:pStyle w:val="Body"/>
        <w:spacing w:before="100" w:after="100" w:line="300" w:lineRule="atLeast"/>
        <w:ind w:left="720" w:firstLine="0"/>
        <w:rPr>
          <w:rStyle w:val="None"/>
          <w:rFonts w:ascii="Arial" w:cs="Arial" w:hAnsi="Arial" w:eastAsia="Arial"/>
          <w:kern w:val="0"/>
        </w:rPr>
      </w:pPr>
      <w:r>
        <w:rPr>
          <w:rStyle w:val="None"/>
          <w:rFonts w:ascii="Arial" w:hAnsi="Arial"/>
          <w:b w:val="1"/>
          <w:bCs w:val="1"/>
          <w:kern w:val="0"/>
          <w:rtl w:val="0"/>
          <w:lang w:val="en-US"/>
        </w:rPr>
        <w:t>Collaborative partnerships</w:t>
      </w:r>
      <w:r>
        <w:rPr>
          <w:rStyle w:val="None"/>
          <w:rFonts w:ascii="Arial" w:hAnsi="Arial"/>
          <w:kern w:val="0"/>
          <w:rtl w:val="0"/>
          <w:lang w:val="en-US"/>
        </w:rPr>
        <w:t>: The NCIZ is being driven forward by SOSE and delivered through strong cross-sector partnerships, including local authorities, third sector organisations, and community groups, and is an initiative that developed from the Borderlands Inclusive Growth Deal.</w:t>
      </w:r>
    </w:p>
    <w:p>
      <w:pPr>
        <w:pStyle w:val="Body"/>
        <w:spacing w:after="0" w:line="300" w:lineRule="atLeast"/>
        <w:rPr>
          <w:rStyle w:val="None"/>
          <w:rFonts w:ascii="Arial" w:cs="Arial" w:hAnsi="Arial" w:eastAsia="Arial"/>
          <w:kern w:val="0"/>
          <w:u w:val="single"/>
        </w:rPr>
      </w:pPr>
      <w:r>
        <w:rPr>
          <w:rStyle w:val="None"/>
          <w:rFonts w:ascii="Arial" w:hAnsi="Arial"/>
          <w:kern w:val="0"/>
          <w:u w:val="single"/>
          <w:rtl w:val="0"/>
          <w:lang w:val="en-US"/>
        </w:rPr>
        <w:t>Regional Land Use Partnership (RLUP)</w:t>
      </w:r>
    </w:p>
    <w:p>
      <w:pPr>
        <w:pStyle w:val="Body"/>
        <w:spacing w:after="0" w:line="300" w:lineRule="atLeast"/>
        <w:rPr>
          <w:rStyle w:val="None"/>
          <w:rFonts w:ascii="Arial" w:cs="Arial" w:hAnsi="Arial" w:eastAsia="Arial"/>
          <w:kern w:val="0"/>
        </w:rPr>
      </w:pPr>
      <w:r>
        <w:rPr>
          <w:rStyle w:val="None"/>
          <w:rFonts w:ascii="Arial" w:hAnsi="Arial"/>
          <w:kern w:val="0"/>
          <w:rtl w:val="0"/>
          <w:lang w:val="en-US"/>
        </w:rPr>
        <w:t xml:space="preserve">The RLUP is the delivery mechanism for the NCIZ, enabling collaborative, place-based decision-making about land use. </w:t>
      </w:r>
    </w:p>
    <w:p>
      <w:pPr>
        <w:pStyle w:val="Body"/>
        <w:spacing w:before="100" w:after="100" w:line="300" w:lineRule="atLeast"/>
        <w:ind w:left="720" w:firstLine="0"/>
        <w:rPr>
          <w:rStyle w:val="None"/>
          <w:rFonts w:ascii="Arial" w:cs="Arial" w:hAnsi="Arial" w:eastAsia="Arial"/>
          <w:kern w:val="0"/>
        </w:rPr>
      </w:pPr>
      <w:r>
        <w:rPr>
          <w:rStyle w:val="None"/>
          <w:rFonts w:ascii="Arial" w:hAnsi="Arial"/>
          <w:b w:val="1"/>
          <w:bCs w:val="1"/>
          <w:kern w:val="0"/>
          <w:rtl w:val="0"/>
          <w:lang w:val="en-US"/>
        </w:rPr>
        <w:t>Purpose</w:t>
      </w:r>
      <w:r>
        <w:rPr>
          <w:rStyle w:val="None"/>
          <w:rFonts w:ascii="Arial" w:hAnsi="Arial"/>
          <w:kern w:val="0"/>
          <w:rtl w:val="0"/>
          <w:lang w:val="en-US"/>
        </w:rPr>
        <w:t>: RLUPs bring together national and local government, communities, landowners, and stakeholders to optimise sustainable land use, addressing climate change and biodiversity loss.</w:t>
      </w:r>
    </w:p>
    <w:p>
      <w:pPr>
        <w:pStyle w:val="Body"/>
        <w:spacing w:before="100" w:after="100" w:line="300" w:lineRule="atLeast"/>
        <w:ind w:left="720" w:firstLine="0"/>
        <w:rPr>
          <w:rStyle w:val="None"/>
          <w:rFonts w:ascii="Arial" w:cs="Arial" w:hAnsi="Arial" w:eastAsia="Arial"/>
          <w:kern w:val="0"/>
        </w:rPr>
      </w:pPr>
      <w:r>
        <w:rPr>
          <w:rStyle w:val="None"/>
          <w:rFonts w:ascii="Arial" w:hAnsi="Arial"/>
          <w:b w:val="1"/>
          <w:bCs w:val="1"/>
          <w:kern w:val="0"/>
          <w:rtl w:val="0"/>
          <w:lang w:val="en-US"/>
        </w:rPr>
        <w:t>Framework</w:t>
      </w:r>
      <w:r>
        <w:rPr>
          <w:rStyle w:val="None"/>
          <w:rFonts w:ascii="Arial" w:hAnsi="Arial"/>
          <w:kern w:val="0"/>
          <w:rtl w:val="0"/>
          <w:lang w:val="en-US"/>
        </w:rPr>
        <w:t>: The South of Scotland RLUP pilot (2021</w:t>
      </w:r>
      <w:r>
        <w:rPr>
          <w:rStyle w:val="None"/>
          <w:rFonts w:ascii="Arial" w:hAnsi="Arial" w:hint="default"/>
          <w:kern w:val="0"/>
          <w:rtl w:val="0"/>
          <w:lang w:val="en-US"/>
        </w:rPr>
        <w:t>–</w:t>
      </w:r>
      <w:r>
        <w:rPr>
          <w:rStyle w:val="None"/>
          <w:rFonts w:ascii="Arial" w:hAnsi="Arial"/>
          <w:kern w:val="0"/>
          <w:rtl w:val="0"/>
          <w:lang w:val="en-US"/>
        </w:rPr>
        <w:t>2024) developed the first Regional Land Use Framework (RLUF), setting out a vision and high-level principles for land-use decisions. This framework aligns with national policy and supports the wellbeing economy, housing, transport, and skills priorities.</w:t>
      </w:r>
    </w:p>
    <w:p>
      <w:pPr>
        <w:pStyle w:val="Body"/>
        <w:spacing w:before="100" w:after="100" w:line="300" w:lineRule="atLeast"/>
        <w:ind w:left="720" w:firstLine="0"/>
        <w:rPr>
          <w:rStyle w:val="None"/>
          <w:rFonts w:ascii="Arial" w:cs="Arial" w:hAnsi="Arial" w:eastAsia="Arial"/>
          <w:kern w:val="0"/>
        </w:rPr>
      </w:pPr>
      <w:r>
        <w:rPr>
          <w:rStyle w:val="None"/>
          <w:rFonts w:ascii="Arial" w:hAnsi="Arial"/>
          <w:b w:val="1"/>
          <w:bCs w:val="1"/>
          <w:kern w:val="0"/>
          <w:rtl w:val="0"/>
          <w:lang w:val="en-US"/>
        </w:rPr>
        <w:t>Impact</w:t>
      </w:r>
      <w:r>
        <w:rPr>
          <w:rStyle w:val="None"/>
          <w:rFonts w:ascii="Arial" w:hAnsi="Arial"/>
          <w:kern w:val="0"/>
          <w:rtl w:val="0"/>
          <w:lang w:val="en-US"/>
        </w:rPr>
        <w:t>: RLUPs facilitate landscape-scale projects, such as riparian woodland, regenerative agriculture, peatland and saltmarsh restoration, and community-led innovation, ensuring that local voices shape sustainable land management.</w:t>
      </w:r>
    </w:p>
    <w:p>
      <w:pPr>
        <w:pStyle w:val="Body"/>
        <w:spacing w:after="0" w:line="300" w:lineRule="atLeast"/>
        <w:rPr>
          <w:rStyle w:val="None"/>
          <w:rFonts w:ascii="Arial" w:cs="Arial" w:hAnsi="Arial" w:eastAsia="Arial"/>
          <w:kern w:val="0"/>
          <w:u w:val="single"/>
        </w:rPr>
      </w:pPr>
      <w:r>
        <w:rPr>
          <w:rStyle w:val="None"/>
          <w:rFonts w:ascii="Arial" w:hAnsi="Arial"/>
          <w:kern w:val="0"/>
          <w:u w:val="single"/>
          <w:rtl w:val="0"/>
          <w:lang w:val="en-US"/>
        </w:rPr>
        <w:t>Natural Capital Training</w:t>
      </w:r>
    </w:p>
    <w:p>
      <w:pPr>
        <w:pStyle w:val="Body"/>
        <w:spacing w:after="0" w:line="300" w:lineRule="atLeast"/>
        <w:rPr>
          <w:rStyle w:val="None"/>
          <w:rFonts w:ascii="Arial" w:cs="Arial" w:hAnsi="Arial" w:eastAsia="Arial"/>
          <w:kern w:val="0"/>
        </w:rPr>
      </w:pPr>
      <w:r>
        <w:rPr>
          <w:rStyle w:val="None"/>
          <w:rFonts w:ascii="Arial" w:hAnsi="Arial"/>
          <w:kern w:val="0"/>
          <w:rtl w:val="0"/>
          <w:lang w:val="en-US"/>
        </w:rPr>
        <w:t>Natural capital training is being rolled out internally by the Natural Capital team at SOSE, with the aim of building understanding and practical skills among staff. The long-term aim is to also deliver this training to partners.</w:t>
      </w:r>
    </w:p>
    <w:p>
      <w:pPr>
        <w:pStyle w:val="Body"/>
        <w:spacing w:before="100" w:after="100" w:line="300" w:lineRule="atLeast"/>
        <w:ind w:left="720" w:firstLine="0"/>
        <w:rPr>
          <w:rStyle w:val="None"/>
          <w:rFonts w:ascii="Arial" w:cs="Arial" w:hAnsi="Arial" w:eastAsia="Arial"/>
          <w:kern w:val="0"/>
        </w:rPr>
      </w:pPr>
      <w:r>
        <w:rPr>
          <w:rStyle w:val="None"/>
          <w:rFonts w:ascii="Arial" w:hAnsi="Arial"/>
          <w:b w:val="1"/>
          <w:bCs w:val="1"/>
          <w:kern w:val="0"/>
          <w:rtl w:val="0"/>
          <w:lang w:val="it-IT"/>
        </w:rPr>
        <w:t>Content</w:t>
      </w:r>
      <w:r>
        <w:rPr>
          <w:rStyle w:val="None"/>
          <w:rFonts w:ascii="Arial" w:hAnsi="Arial"/>
          <w:kern w:val="0"/>
          <w:rtl w:val="0"/>
          <w:lang w:val="en-US"/>
        </w:rPr>
        <w:t>: Training covers the meaning and opportunity of natural capital and the, how to identify and report natural capital projects, and the application of nature-based solutions and circular economy approaches covering everything from small businesses to landscape scale.</w:t>
      </w:r>
    </w:p>
    <w:p>
      <w:pPr>
        <w:pStyle w:val="Body"/>
        <w:spacing w:before="100" w:after="100" w:line="300" w:lineRule="atLeast"/>
        <w:ind w:left="720" w:firstLine="0"/>
        <w:rPr>
          <w:rStyle w:val="None"/>
          <w:rFonts w:ascii="Arial" w:cs="Arial" w:hAnsi="Arial" w:eastAsia="Arial"/>
          <w:kern w:val="0"/>
        </w:rPr>
      </w:pPr>
      <w:r>
        <w:rPr>
          <w:rStyle w:val="None"/>
          <w:rFonts w:ascii="Arial" w:hAnsi="Arial"/>
          <w:b w:val="1"/>
          <w:bCs w:val="1"/>
          <w:kern w:val="0"/>
          <w:rtl w:val="0"/>
          <w:lang w:val="en-US"/>
        </w:rPr>
        <w:t>Delivery</w:t>
      </w:r>
      <w:r>
        <w:rPr>
          <w:rStyle w:val="None"/>
          <w:rFonts w:ascii="Arial" w:hAnsi="Arial"/>
          <w:kern w:val="0"/>
          <w:rtl w:val="0"/>
          <w:lang w:val="en-US"/>
        </w:rPr>
        <w:t>: Developed in collaboration with external experts and tailored to SOSE</w:t>
      </w:r>
      <w:r>
        <w:rPr>
          <w:rStyle w:val="None"/>
          <w:rFonts w:ascii="Arial" w:hAnsi="Arial" w:hint="default"/>
          <w:kern w:val="0"/>
          <w:rtl w:val="0"/>
          <w:lang w:val="en-US"/>
        </w:rPr>
        <w:t>’</w:t>
      </w:r>
      <w:r>
        <w:rPr>
          <w:rStyle w:val="None"/>
          <w:rFonts w:ascii="Arial" w:hAnsi="Arial"/>
          <w:kern w:val="0"/>
          <w:rtl w:val="0"/>
          <w:lang w:val="en-US"/>
        </w:rPr>
        <w:t>s needs, the training includes toolkits, videos, and group activities. It is designed to be engaging and relevant, supporting both internal staff and partner organisations across the NCIZ.</w:t>
      </w:r>
    </w:p>
    <w:p>
      <w:pPr>
        <w:pStyle w:val="Body"/>
        <w:spacing w:before="100" w:after="100" w:line="300" w:lineRule="atLeast"/>
        <w:ind w:left="720" w:firstLine="0"/>
        <w:rPr>
          <w:rStyle w:val="None"/>
          <w:rFonts w:ascii="Arial" w:cs="Arial" w:hAnsi="Arial" w:eastAsia="Arial"/>
          <w:kern w:val="0"/>
        </w:rPr>
      </w:pPr>
      <w:r>
        <w:rPr>
          <w:rStyle w:val="None"/>
          <w:rFonts w:ascii="Arial" w:hAnsi="Arial"/>
          <w:b w:val="1"/>
          <w:bCs w:val="1"/>
          <w:kern w:val="0"/>
          <w:rtl w:val="0"/>
          <w:lang w:val="en-US"/>
        </w:rPr>
        <w:t>Outcomes</w:t>
      </w:r>
      <w:r>
        <w:rPr>
          <w:rStyle w:val="None"/>
          <w:rFonts w:ascii="Arial" w:hAnsi="Arial"/>
          <w:kern w:val="0"/>
          <w:rtl w:val="0"/>
          <w:lang w:val="en-US"/>
        </w:rPr>
        <w:t>: The training is intended to improve reporting, raise awareness, and enable staff to support partners in realising the benefits of natural capital, linking to circularity and net zero.</w:t>
      </w:r>
    </w:p>
    <w:p>
      <w:pPr>
        <w:pStyle w:val="Body"/>
        <w:spacing w:after="0" w:line="300" w:lineRule="atLeast"/>
        <w:rPr>
          <w:rStyle w:val="None"/>
          <w:rFonts w:ascii="Arial" w:cs="Arial" w:hAnsi="Arial" w:eastAsia="Arial"/>
          <w:kern w:val="0"/>
          <w:u w:val="single"/>
        </w:rPr>
      </w:pPr>
      <w:r>
        <w:rPr>
          <w:rStyle w:val="None"/>
          <w:rFonts w:ascii="Arial" w:hAnsi="Arial"/>
          <w:kern w:val="0"/>
          <w:u w:val="single"/>
          <w:rtl w:val="0"/>
          <w:lang w:val="en-US"/>
        </w:rPr>
        <w:t>Circular Economy (CE) Partnership with Zero Waste Scotland (ZWS)</w:t>
      </w:r>
    </w:p>
    <w:p>
      <w:pPr>
        <w:pStyle w:val="Body"/>
        <w:spacing w:after="0" w:line="300" w:lineRule="atLeast"/>
        <w:rPr>
          <w:rStyle w:val="None"/>
          <w:rFonts w:ascii="Arial" w:cs="Arial" w:hAnsi="Arial" w:eastAsia="Arial"/>
          <w:kern w:val="0"/>
        </w:rPr>
      </w:pPr>
      <w:r>
        <w:rPr>
          <w:rStyle w:val="None"/>
          <w:rFonts w:ascii="Arial" w:hAnsi="Arial"/>
          <w:kern w:val="0"/>
          <w:rtl w:val="0"/>
          <w:lang w:val="en-US"/>
        </w:rPr>
        <w:t>The partnership with ZWS is a critical element of NCIZ delivery, embedding circular economy principles across the region.</w:t>
      </w:r>
    </w:p>
    <w:p>
      <w:pPr>
        <w:pStyle w:val="Body"/>
        <w:spacing w:before="100" w:after="100" w:line="300" w:lineRule="atLeast"/>
        <w:ind w:left="720" w:firstLine="0"/>
        <w:rPr>
          <w:rStyle w:val="None"/>
          <w:rFonts w:ascii="Arial" w:cs="Arial" w:hAnsi="Arial" w:eastAsia="Arial"/>
          <w:kern w:val="0"/>
        </w:rPr>
      </w:pPr>
      <w:r>
        <w:rPr>
          <w:rStyle w:val="None"/>
          <w:rFonts w:ascii="Arial" w:hAnsi="Arial"/>
          <w:b w:val="1"/>
          <w:bCs w:val="1"/>
          <w:kern w:val="0"/>
          <w:rtl w:val="0"/>
          <w:lang w:val="en-US"/>
        </w:rPr>
        <w:t>Focus</w:t>
      </w:r>
      <w:r>
        <w:rPr>
          <w:rStyle w:val="None"/>
          <w:rFonts w:ascii="Arial" w:hAnsi="Arial"/>
          <w:kern w:val="0"/>
          <w:rtl w:val="0"/>
          <w:lang w:val="en-US"/>
        </w:rPr>
        <w:t>: The partnership aims to deepen the evidence base, raise awareness, and address barriers to circularity, aligning with ZWS</w:t>
      </w:r>
      <w:r>
        <w:rPr>
          <w:rStyle w:val="None"/>
          <w:rFonts w:ascii="Arial" w:hAnsi="Arial" w:hint="default"/>
          <w:kern w:val="0"/>
          <w:rtl w:val="0"/>
          <w:lang w:val="en-US"/>
        </w:rPr>
        <w:t>’</w:t>
      </w:r>
      <w:r>
        <w:rPr>
          <w:rStyle w:val="None"/>
          <w:rFonts w:ascii="Arial" w:hAnsi="Arial"/>
          <w:kern w:val="0"/>
          <w:rtl w:val="0"/>
          <w:lang w:val="en-US"/>
        </w:rPr>
        <w:t>s Corporate Plan 2024</w:t>
      </w:r>
      <w:r>
        <w:rPr>
          <w:rStyle w:val="None"/>
          <w:rFonts w:ascii="Arial" w:hAnsi="Arial" w:hint="default"/>
          <w:kern w:val="0"/>
          <w:rtl w:val="0"/>
          <w:lang w:val="en-US"/>
        </w:rPr>
        <w:t>–</w:t>
      </w:r>
      <w:r>
        <w:rPr>
          <w:rStyle w:val="None"/>
          <w:rFonts w:ascii="Arial" w:hAnsi="Arial"/>
          <w:kern w:val="0"/>
          <w:rtl w:val="0"/>
        </w:rPr>
        <w:t>2030.</w:t>
      </w:r>
    </w:p>
    <w:p>
      <w:pPr>
        <w:pStyle w:val="Body"/>
        <w:spacing w:before="100" w:after="100" w:line="300" w:lineRule="atLeast"/>
        <w:ind w:left="720" w:firstLine="0"/>
        <w:rPr>
          <w:rStyle w:val="None"/>
          <w:rFonts w:ascii="Arial" w:cs="Arial" w:hAnsi="Arial" w:eastAsia="Arial"/>
          <w:kern w:val="0"/>
        </w:rPr>
      </w:pPr>
      <w:r>
        <w:rPr>
          <w:rStyle w:val="None"/>
          <w:rFonts w:ascii="Arial" w:hAnsi="Arial"/>
          <w:b w:val="1"/>
          <w:bCs w:val="1"/>
          <w:kern w:val="0"/>
          <w:rtl w:val="0"/>
          <w:lang w:val="en-US"/>
        </w:rPr>
        <w:t>Activities</w:t>
      </w:r>
      <w:r>
        <w:rPr>
          <w:rStyle w:val="None"/>
          <w:rFonts w:ascii="Arial" w:hAnsi="Arial"/>
          <w:kern w:val="0"/>
          <w:rtl w:val="0"/>
          <w:lang w:val="en-US"/>
        </w:rPr>
        <w:t>: Awareness raising, linking circularity with natural capital and delivering training packages and resources to embed these principles within business activity, both internally and with clients. Strengthening collaboration between both organisations and identifying opportunities for CE approaches with high impact and scale.</w:t>
      </w:r>
    </w:p>
    <w:p>
      <w:pPr>
        <w:pStyle w:val="Body"/>
        <w:spacing w:before="100" w:after="100" w:line="300" w:lineRule="atLeast"/>
        <w:ind w:left="720" w:firstLine="0"/>
        <w:rPr>
          <w:rStyle w:val="None"/>
          <w:rFonts w:ascii="Arial" w:cs="Arial" w:hAnsi="Arial" w:eastAsia="Arial"/>
          <w:kern w:val="0"/>
        </w:rPr>
      </w:pPr>
      <w:r>
        <w:rPr>
          <w:rStyle w:val="None"/>
          <w:rFonts w:ascii="Arial" w:hAnsi="Arial"/>
          <w:b w:val="1"/>
          <w:bCs w:val="1"/>
          <w:kern w:val="0"/>
          <w:rtl w:val="0"/>
          <w:lang w:val="en-US"/>
        </w:rPr>
        <w:t>Impact</w:t>
      </w:r>
      <w:r>
        <w:rPr>
          <w:rStyle w:val="None"/>
          <w:rFonts w:ascii="Arial" w:hAnsi="Arial"/>
          <w:kern w:val="0"/>
          <w:rtl w:val="0"/>
          <w:lang w:val="en-US"/>
        </w:rPr>
        <w:t>: The partnership supports regional economic bodies, strategic partnerships, and public sector organisations in adopting circular economy practices, boosting productivity, and unlocking investment. It also enables the development of demonstrator projects, such as the Dumfries Zero Waste Park, which supports recycling, waste reduction, and regeneration.</w:t>
      </w:r>
    </w:p>
    <w:p>
      <w:pPr>
        <w:pStyle w:val="Body"/>
        <w:rPr>
          <w:rStyle w:val="None"/>
          <w:rFonts w:ascii="Arial" w:cs="Arial" w:hAnsi="Arial" w:eastAsia="Arial"/>
        </w:rPr>
      </w:pPr>
    </w:p>
    <w:p>
      <w:pPr>
        <w:pStyle w:val="Body"/>
        <w:rPr>
          <w:rStyle w:val="None"/>
          <w:rFonts w:ascii="Arial" w:cs="Arial" w:hAnsi="Arial" w:eastAsia="Arial"/>
        </w:rPr>
      </w:pPr>
    </w:p>
    <w:p>
      <w:pPr>
        <w:pStyle w:val="Body"/>
        <w:rPr>
          <w:rStyle w:val="None"/>
          <w:rFonts w:ascii="Arial" w:cs="Arial" w:hAnsi="Arial" w:eastAsia="Arial"/>
          <w:b w:val="1"/>
          <w:bCs w:val="1"/>
        </w:rPr>
      </w:pPr>
      <w:r>
        <w:rPr>
          <w:rStyle w:val="None"/>
          <w:rFonts w:ascii="Arial" w:hAnsi="Arial"/>
          <w:b w:val="1"/>
          <w:bCs w:val="1"/>
          <w:rtl w:val="0"/>
          <w:lang w:val="en-US"/>
        </w:rPr>
        <w:t xml:space="preserve">Case Study 5: Community Transport </w:t>
      </w:r>
      <w:r>
        <w:rPr>
          <w:rStyle w:val="None"/>
          <w:rFonts w:ascii="Arial" w:hAnsi="Arial" w:hint="default"/>
          <w:b w:val="1"/>
          <w:bCs w:val="1"/>
          <w:rtl w:val="0"/>
          <w:lang w:val="en-US"/>
        </w:rPr>
        <w:t xml:space="preserve">– </w:t>
      </w:r>
      <w:r>
        <w:rPr>
          <w:rStyle w:val="None"/>
          <w:rFonts w:ascii="Arial" w:hAnsi="Arial"/>
          <w:b w:val="1"/>
          <w:bCs w:val="1"/>
          <w:rtl w:val="0"/>
          <w:lang w:val="en-US"/>
        </w:rPr>
        <w:t>Connecting Rural Lives</w:t>
      </w:r>
    </w:p>
    <w:p>
      <w:pPr>
        <w:pStyle w:val="Body"/>
        <w:rPr>
          <w:rStyle w:val="None"/>
          <w:rFonts w:ascii="Arial" w:cs="Arial" w:hAnsi="Arial" w:eastAsia="Arial"/>
          <w:b w:val="1"/>
          <w:bCs w:val="1"/>
        </w:rPr>
      </w:pPr>
      <w:r>
        <w:rPr>
          <w:rStyle w:val="None"/>
          <w:rFonts w:ascii="Arial" w:hAnsi="Arial"/>
          <w:b w:val="1"/>
          <w:bCs w:val="1"/>
          <w:rtl w:val="0"/>
          <w:lang w:val="en-US"/>
        </w:rPr>
        <w:t>LOIP Outcome Contribution</w:t>
      </w:r>
    </w:p>
    <w:p>
      <w:pPr>
        <w:pStyle w:val="Body"/>
        <w:rPr>
          <w:rStyle w:val="None"/>
          <w:rFonts w:ascii="Arial" w:cs="Arial" w:hAnsi="Arial" w:eastAsia="Arial"/>
        </w:rPr>
      </w:pPr>
      <w:r>
        <w:rPr>
          <w:rStyle w:val="None"/>
          <w:rFonts w:ascii="Arial" w:hAnsi="Arial"/>
          <w:b w:val="1"/>
          <w:bCs w:val="1"/>
          <w:rtl w:val="0"/>
          <w:lang w:val="en-US"/>
        </w:rPr>
        <w:t>LOIP Outcome 10</w:t>
      </w:r>
      <w:r>
        <w:rPr>
          <w:rStyle w:val="None"/>
          <w:rFonts w:ascii="Arial" w:hAnsi="Arial"/>
          <w:rtl w:val="0"/>
        </w:rPr>
        <w:t>:</w:t>
      </w:r>
      <w:r>
        <w:rPr>
          <w:rStyle w:val="None"/>
          <w:rFonts w:ascii="Arial" w:hAnsi="Arial" w:hint="default"/>
          <w:rtl w:val="0"/>
          <w:lang w:val="en-US"/>
        </w:rPr>
        <w:t> </w:t>
      </w:r>
      <w:r>
        <w:rPr>
          <w:rStyle w:val="None"/>
          <w:rFonts w:ascii="Arial" w:hAnsi="Arial"/>
          <w:i w:val="1"/>
          <w:iCs w:val="1"/>
          <w:rtl w:val="0"/>
          <w:lang w:val="en-US"/>
        </w:rPr>
        <w:t>Improve transport connectivity across our region to increase opportunities to access employment, education and leisure, particularly in our most remote rural areas.</w:t>
      </w:r>
    </w:p>
    <w:p>
      <w:pPr>
        <w:pStyle w:val="Body"/>
        <w:rPr>
          <w:rStyle w:val="None"/>
          <w:rFonts w:ascii="Arial" w:cs="Arial" w:hAnsi="Arial" w:eastAsia="Arial"/>
          <w:b w:val="1"/>
          <w:bCs w:val="1"/>
        </w:rPr>
      </w:pPr>
      <w:r>
        <w:rPr>
          <w:rStyle w:val="None"/>
          <w:rFonts w:ascii="Arial" w:hAnsi="Arial"/>
          <w:b w:val="1"/>
          <w:bCs w:val="1"/>
          <w:rtl w:val="0"/>
          <w:lang w:val="en-US"/>
        </w:rPr>
        <w:t>Background</w:t>
      </w:r>
    </w:p>
    <w:p>
      <w:pPr>
        <w:pStyle w:val="Body"/>
        <w:rPr>
          <w:rStyle w:val="None"/>
          <w:rFonts w:ascii="Arial" w:cs="Arial" w:hAnsi="Arial" w:eastAsia="Arial"/>
        </w:rPr>
      </w:pPr>
      <w:r>
        <w:rPr>
          <w:rStyle w:val="None"/>
          <w:rFonts w:ascii="Arial" w:hAnsi="Arial"/>
          <w:rtl w:val="0"/>
          <w:lang w:val="en-US"/>
        </w:rPr>
        <w:t>Dumfries and Galloway is one of Scotland</w:t>
      </w:r>
      <w:r>
        <w:rPr>
          <w:rStyle w:val="None"/>
          <w:rFonts w:ascii="Arial" w:hAnsi="Arial" w:hint="default"/>
          <w:rtl w:val="0"/>
          <w:lang w:val="en-US"/>
        </w:rPr>
        <w:t>’</w:t>
      </w:r>
      <w:r>
        <w:rPr>
          <w:rStyle w:val="None"/>
          <w:rFonts w:ascii="Arial" w:hAnsi="Arial"/>
          <w:rtl w:val="0"/>
          <w:lang w:val="en-US"/>
        </w:rPr>
        <w:t>s most sparsely populated regions, with just</w:t>
      </w:r>
      <w:r>
        <w:rPr>
          <w:rStyle w:val="None"/>
          <w:rFonts w:ascii="Arial" w:hAnsi="Arial" w:hint="default"/>
          <w:rtl w:val="0"/>
          <w:lang w:val="en-US"/>
        </w:rPr>
        <w:t> </w:t>
      </w:r>
      <w:r>
        <w:rPr>
          <w:rStyle w:val="None"/>
          <w:rFonts w:ascii="Arial" w:hAnsi="Arial"/>
          <w:rtl w:val="0"/>
          <w:lang w:val="en-US"/>
        </w:rPr>
        <w:t>23 people per square kilometre</w:t>
      </w:r>
      <w:r>
        <w:rPr>
          <w:rStyle w:val="None"/>
          <w:rFonts w:ascii="Arial" w:hAnsi="Arial" w:hint="default"/>
          <w:rtl w:val="0"/>
          <w:lang w:val="en-US"/>
        </w:rPr>
        <w:t> </w:t>
      </w:r>
      <w:r>
        <w:rPr>
          <w:rStyle w:val="None"/>
          <w:rFonts w:ascii="Arial" w:hAnsi="Arial"/>
          <w:rtl w:val="0"/>
          <w:lang w:val="en-US"/>
        </w:rPr>
        <w:t>compared to the national average of 69. Around</w:t>
      </w:r>
      <w:r>
        <w:rPr>
          <w:rStyle w:val="None"/>
          <w:rFonts w:ascii="Arial" w:hAnsi="Arial" w:hint="default"/>
          <w:rtl w:val="0"/>
          <w:lang w:val="en-US"/>
        </w:rPr>
        <w:t> </w:t>
      </w:r>
      <w:r>
        <w:rPr>
          <w:rStyle w:val="None"/>
          <w:rFonts w:ascii="Arial" w:hAnsi="Arial"/>
          <w:rtl w:val="0"/>
          <w:lang w:val="en-US"/>
        </w:rPr>
        <w:t>one-third of residents live in remote rural areas, where public transport is limited and often not commercially viable. This lack of connectivity disproportionately affects low-income and vulnerable individuals, especially those without access to a private vehicle.</w:t>
      </w:r>
    </w:p>
    <w:p>
      <w:pPr>
        <w:pStyle w:val="Body"/>
        <w:rPr>
          <w:rStyle w:val="None"/>
          <w:rFonts w:ascii="Arial" w:cs="Arial" w:hAnsi="Arial" w:eastAsia="Arial"/>
          <w:b w:val="1"/>
          <w:bCs w:val="1"/>
        </w:rPr>
      </w:pPr>
      <w:r>
        <w:rPr>
          <w:rStyle w:val="None"/>
          <w:rFonts w:ascii="Arial" w:hAnsi="Arial"/>
          <w:b w:val="1"/>
          <w:bCs w:val="1"/>
          <w:rtl w:val="0"/>
          <w:lang w:val="en-US"/>
        </w:rPr>
        <w:t>Project Overview</w:t>
      </w:r>
    </w:p>
    <w:p>
      <w:pPr>
        <w:pStyle w:val="Body"/>
        <w:rPr>
          <w:rStyle w:val="None"/>
          <w:rFonts w:ascii="Arial" w:cs="Arial" w:hAnsi="Arial" w:eastAsia="Arial"/>
        </w:rPr>
      </w:pPr>
      <w:r>
        <w:rPr>
          <w:rStyle w:val="None"/>
          <w:rFonts w:ascii="Arial" w:hAnsi="Arial"/>
          <w:rtl w:val="0"/>
          <w:lang w:val="en-US"/>
        </w:rPr>
        <w:t>To address these challenges,</w:t>
      </w:r>
      <w:r>
        <w:rPr>
          <w:rStyle w:val="None"/>
          <w:rFonts w:ascii="Arial" w:hAnsi="Arial" w:hint="default"/>
          <w:rtl w:val="0"/>
          <w:lang w:val="en-US"/>
        </w:rPr>
        <w:t> </w:t>
      </w:r>
      <w:r>
        <w:rPr>
          <w:rStyle w:val="None"/>
          <w:rFonts w:ascii="Arial" w:hAnsi="Arial"/>
          <w:rtl w:val="0"/>
          <w:lang w:val="en-US"/>
        </w:rPr>
        <w:t>Community Transport Operators</w:t>
      </w:r>
      <w:r>
        <w:rPr>
          <w:rStyle w:val="None"/>
          <w:rFonts w:ascii="Arial" w:hAnsi="Arial" w:hint="default"/>
          <w:rtl w:val="0"/>
          <w:lang w:val="en-US"/>
        </w:rPr>
        <w:t> </w:t>
      </w:r>
      <w:r>
        <w:rPr>
          <w:rStyle w:val="None"/>
          <w:rFonts w:ascii="Arial" w:hAnsi="Arial"/>
          <w:rtl w:val="0"/>
          <w:lang w:val="en-US"/>
        </w:rPr>
        <w:t>across the region joined forces with statutory bodies including</w:t>
      </w:r>
      <w:r>
        <w:rPr>
          <w:rStyle w:val="None"/>
          <w:rFonts w:ascii="Arial" w:hAnsi="Arial" w:hint="default"/>
          <w:rtl w:val="0"/>
          <w:lang w:val="en-US"/>
        </w:rPr>
        <w:t> </w:t>
      </w:r>
      <w:r>
        <w:rPr>
          <w:rStyle w:val="None"/>
          <w:rFonts w:ascii="Arial" w:hAnsi="Arial"/>
          <w:rtl w:val="0"/>
          <w:lang w:val="en-US"/>
        </w:rPr>
        <w:t>NHS Dumfries &amp; Galloway,</w:t>
      </w:r>
      <w:r>
        <w:rPr>
          <w:rStyle w:val="None"/>
          <w:rFonts w:ascii="Arial" w:hAnsi="Arial" w:hint="default"/>
          <w:rtl w:val="0"/>
          <w:lang w:val="en-US"/>
        </w:rPr>
        <w:t> </w:t>
      </w:r>
      <w:r>
        <w:rPr>
          <w:rStyle w:val="None"/>
          <w:rFonts w:ascii="Arial" w:hAnsi="Arial"/>
          <w:rtl w:val="0"/>
          <w:lang w:val="en-US"/>
        </w:rPr>
        <w:t>Dumfries and Galloway Council, and</w:t>
      </w:r>
      <w:r>
        <w:rPr>
          <w:rStyle w:val="None"/>
          <w:rFonts w:ascii="Arial" w:hAnsi="Arial" w:hint="default"/>
          <w:rtl w:val="0"/>
          <w:lang w:val="en-US"/>
        </w:rPr>
        <w:t> </w:t>
      </w:r>
      <w:r>
        <w:rPr>
          <w:rStyle w:val="None"/>
          <w:rFonts w:ascii="Arial" w:hAnsi="Arial"/>
          <w:rtl w:val="0"/>
          <w:lang w:val="de-DE"/>
        </w:rPr>
        <w:t>SWestrans</w:t>
      </w:r>
      <w:r>
        <w:rPr>
          <w:rStyle w:val="None"/>
          <w:rFonts w:ascii="Arial" w:hAnsi="Arial" w:hint="default"/>
          <w:rtl w:val="0"/>
          <w:lang w:val="en-US"/>
        </w:rPr>
        <w:t> </w:t>
      </w:r>
      <w:r>
        <w:rPr>
          <w:rStyle w:val="None"/>
          <w:rFonts w:ascii="Arial" w:hAnsi="Arial"/>
          <w:rtl w:val="0"/>
          <w:lang w:val="en-US"/>
        </w:rPr>
        <w:t>through the</w:t>
      </w:r>
      <w:r>
        <w:rPr>
          <w:rStyle w:val="None"/>
          <w:rFonts w:ascii="Arial" w:hAnsi="Arial" w:hint="default"/>
          <w:rtl w:val="0"/>
          <w:lang w:val="en-US"/>
        </w:rPr>
        <w:t> </w:t>
      </w:r>
      <w:r>
        <w:rPr>
          <w:rStyle w:val="None"/>
          <w:rFonts w:ascii="Arial" w:hAnsi="Arial"/>
          <w:rtl w:val="0"/>
          <w:lang w:val="en-US"/>
        </w:rPr>
        <w:t>Community Transport Strategic Development Group. Together, they developed a coordinated approach to improve transport access, particularly for</w:t>
      </w:r>
      <w:r>
        <w:rPr>
          <w:rStyle w:val="None"/>
          <w:rFonts w:ascii="Arial" w:hAnsi="Arial" w:hint="default"/>
          <w:rtl w:val="0"/>
          <w:lang w:val="en-US"/>
        </w:rPr>
        <w:t> </w:t>
      </w:r>
      <w:r>
        <w:rPr>
          <w:rStyle w:val="None"/>
          <w:rFonts w:ascii="Arial" w:hAnsi="Arial"/>
          <w:rtl w:val="0"/>
          <w:lang w:val="en-US"/>
        </w:rPr>
        <w:t>non-emergency patient transport.</w:t>
      </w:r>
    </w:p>
    <w:p>
      <w:pPr>
        <w:pStyle w:val="Body"/>
        <w:rPr>
          <w:rStyle w:val="None"/>
          <w:rFonts w:ascii="Arial" w:cs="Arial" w:hAnsi="Arial" w:eastAsia="Arial"/>
          <w:b w:val="1"/>
          <w:bCs w:val="1"/>
          <w:u w:val="single"/>
        </w:rPr>
      </w:pPr>
    </w:p>
    <w:p>
      <w:pPr>
        <w:pStyle w:val="Body"/>
        <w:rPr>
          <w:rStyle w:val="None"/>
          <w:rFonts w:ascii="Arial" w:cs="Arial" w:hAnsi="Arial" w:eastAsia="Arial"/>
          <w:b w:val="1"/>
          <w:bCs w:val="1"/>
          <w:u w:val="single"/>
        </w:rPr>
      </w:pPr>
    </w:p>
    <w:p>
      <w:pPr>
        <w:pStyle w:val="Body"/>
        <w:rPr>
          <w:rStyle w:val="None"/>
          <w:rFonts w:ascii="Arial" w:cs="Arial" w:hAnsi="Arial" w:eastAsia="Arial"/>
          <w:b w:val="1"/>
          <w:bCs w:val="1"/>
          <w:u w:val="single"/>
        </w:rPr>
      </w:pPr>
    </w:p>
    <w:p>
      <w:pPr>
        <w:pStyle w:val="Body"/>
        <w:rPr>
          <w:rStyle w:val="None"/>
          <w:rFonts w:ascii="Arial" w:cs="Arial" w:hAnsi="Arial" w:eastAsia="Arial"/>
          <w:b w:val="1"/>
          <w:bCs w:val="1"/>
          <w:u w:val="single"/>
        </w:rPr>
      </w:pPr>
    </w:p>
    <w:p>
      <w:pPr>
        <w:pStyle w:val="Body"/>
        <w:rPr>
          <w:rStyle w:val="None"/>
          <w:rFonts w:ascii="Arial" w:cs="Arial" w:hAnsi="Arial" w:eastAsia="Arial"/>
          <w:b w:val="1"/>
          <w:bCs w:val="1"/>
          <w:u w:val="single"/>
        </w:rPr>
      </w:pPr>
    </w:p>
    <w:p>
      <w:pPr>
        <w:pStyle w:val="Body"/>
        <w:rPr>
          <w:rStyle w:val="None"/>
          <w:rFonts w:ascii="Arial" w:cs="Arial" w:hAnsi="Arial" w:eastAsia="Arial"/>
          <w:b w:val="1"/>
          <w:bCs w:val="1"/>
          <w:u w:val="single"/>
        </w:rPr>
      </w:pPr>
    </w:p>
    <w:p>
      <w:pPr>
        <w:pStyle w:val="Body"/>
        <w:rPr>
          <w:rStyle w:val="None"/>
          <w:rFonts w:ascii="Arial" w:cs="Arial" w:hAnsi="Arial" w:eastAsia="Arial"/>
        </w:rPr>
      </w:pPr>
      <w:r>
        <w:rPr>
          <w:rStyle w:val="None"/>
          <w:rFonts w:ascii="Arial" w:hAnsi="Arial"/>
          <w:b w:val="1"/>
          <w:bCs w:val="1"/>
          <w:u w:val="single"/>
          <w:rtl w:val="0"/>
          <w:lang w:val="en-US"/>
        </w:rPr>
        <w:t>What has the impact been for the population?</w:t>
      </w:r>
      <w:r>
        <w:rPr>
          <w:rStyle w:val="None"/>
          <w:rFonts w:ascii="Arial" w:hAnsi="Arial" w:hint="default"/>
          <w:rtl w:val="0"/>
          <w:lang w:val="en-US"/>
        </w:rPr>
        <w:t>  </w:t>
      </w:r>
    </w:p>
    <w:p>
      <w:pPr>
        <w:pStyle w:val="Body"/>
        <w:tabs>
          <w:tab w:val="left" w:pos="8030"/>
        </w:tabs>
        <w:rPr>
          <w:rStyle w:val="None"/>
          <w:rFonts w:ascii="Arial" w:cs="Arial" w:hAnsi="Arial" w:eastAsia="Arial"/>
        </w:rPr>
      </w:pPr>
      <w:r>
        <w:rPr>
          <w:rStyle w:val="wacimagecontainer"/>
        </w:rPr>
        <w:drawing xmlns:a="http://schemas.openxmlformats.org/drawingml/2006/main">
          <wp:inline distT="0" distB="0" distL="0" distR="0">
            <wp:extent cx="3543300" cy="1701800"/>
            <wp:effectExtent l="0" t="0" r="0" b="0"/>
            <wp:docPr id="1073741847" name="officeArt object" descr="A blue and white infographic with white text and a clock, Picture, Picture"/>
            <wp:cNvGraphicFramePr/>
            <a:graphic xmlns:a="http://schemas.openxmlformats.org/drawingml/2006/main">
              <a:graphicData uri="http://schemas.openxmlformats.org/drawingml/2006/picture">
                <pic:pic xmlns:pic="http://schemas.openxmlformats.org/drawingml/2006/picture">
                  <pic:nvPicPr>
                    <pic:cNvPr id="1073741847" name="A blue and white infographic with white text and a clock, Picture, Picture" descr="A blue and white infographic with white text and a clock, Picture, Picture"/>
                    <pic:cNvPicPr>
                      <a:picLocks noChangeAspect="1"/>
                    </pic:cNvPicPr>
                  </pic:nvPicPr>
                  <pic:blipFill>
                    <a:blip r:embed="rId14">
                      <a:extLst/>
                    </a:blip>
                    <a:stretch>
                      <a:fillRect/>
                    </a:stretch>
                  </pic:blipFill>
                  <pic:spPr>
                    <a:xfrm>
                      <a:off x="0" y="0"/>
                      <a:ext cx="3543300" cy="1701800"/>
                    </a:xfrm>
                    <a:prstGeom prst="rect">
                      <a:avLst/>
                    </a:prstGeom>
                    <a:ln w="12700" cap="flat">
                      <a:noFill/>
                      <a:miter lim="400000"/>
                    </a:ln>
                    <a:effectLst/>
                  </pic:spPr>
                </pic:pic>
              </a:graphicData>
            </a:graphic>
          </wp:inline>
        </w:drawing>
      </w:r>
    </w:p>
    <w:p>
      <w:pPr>
        <w:pStyle w:val="Body"/>
        <w:rPr>
          <w:rStyle w:val="None"/>
          <w:rFonts w:ascii="Arial" w:cs="Arial" w:hAnsi="Arial" w:eastAsia="Arial"/>
          <w:b w:val="1"/>
          <w:bCs w:val="1"/>
        </w:rPr>
      </w:pPr>
      <w:r>
        <w:rPr>
          <w:rStyle w:val="None"/>
          <w:rFonts w:ascii="Arial" w:hAnsi="Arial"/>
          <w:b w:val="1"/>
          <w:bCs w:val="1"/>
          <w:rtl w:val="0"/>
          <w:lang w:val="en-US"/>
        </w:rPr>
        <w:t>What has been the impact on individuals?</w:t>
      </w:r>
    </w:p>
    <w:p>
      <w:pPr>
        <w:pStyle w:val="Body"/>
        <w:rPr>
          <w:rStyle w:val="None"/>
          <w:rFonts w:ascii="Arial" w:cs="Arial" w:hAnsi="Arial" w:eastAsia="Arial"/>
        </w:rPr>
      </w:pPr>
      <w:r>
        <w:rPr>
          <w:rStyle w:val="None"/>
          <w:rFonts w:ascii="Arial" w:hAnsi="Arial"/>
          <w:b w:val="1"/>
          <w:bCs w:val="1"/>
          <w:rtl w:val="0"/>
        </w:rPr>
        <w:t>B</w:t>
      </w:r>
      <w:r>
        <w:rPr>
          <w:rStyle w:val="None"/>
          <w:rFonts w:ascii="Arial" w:hAnsi="Arial"/>
          <w:rtl w:val="0"/>
          <w:lang w:val="en-US"/>
        </w:rPr>
        <w:t>, an older resident living in a rural area of Dumfries and Galloway, was recently widowed and unable to drive. Living with restricted mobility and dementia, they couldn</w:t>
      </w:r>
      <w:r>
        <w:rPr>
          <w:rStyle w:val="None"/>
          <w:rFonts w:ascii="Arial" w:hAnsi="Arial" w:hint="default"/>
          <w:rtl w:val="0"/>
          <w:lang w:val="en-US"/>
        </w:rPr>
        <w:t>’</w:t>
      </w:r>
      <w:r>
        <w:rPr>
          <w:rStyle w:val="None"/>
          <w:rFonts w:ascii="Arial" w:hAnsi="Arial"/>
          <w:rtl w:val="0"/>
          <w:lang w:val="en-US"/>
        </w:rPr>
        <w:t>t use public transport and didn</w:t>
      </w:r>
      <w:r>
        <w:rPr>
          <w:rStyle w:val="None"/>
          <w:rFonts w:ascii="Arial" w:hAnsi="Arial" w:hint="default"/>
          <w:rtl w:val="0"/>
          <w:lang w:val="en-US"/>
        </w:rPr>
        <w:t>’</w:t>
      </w:r>
      <w:r>
        <w:rPr>
          <w:rStyle w:val="None"/>
          <w:rFonts w:ascii="Arial" w:hAnsi="Arial"/>
          <w:rtl w:val="0"/>
          <w:lang w:val="en-US"/>
        </w:rPr>
        <w:t>t qualify for the Scottish Ambulance Service</w:t>
      </w:r>
      <w:r>
        <w:rPr>
          <w:rStyle w:val="None"/>
          <w:rFonts w:ascii="Arial" w:hAnsi="Arial" w:hint="default"/>
          <w:rtl w:val="0"/>
          <w:lang w:val="en-US"/>
        </w:rPr>
        <w:t>’</w:t>
      </w:r>
      <w:r>
        <w:rPr>
          <w:rStyle w:val="None"/>
          <w:rFonts w:ascii="Arial" w:hAnsi="Arial"/>
          <w:rtl w:val="0"/>
          <w:lang w:val="en-US"/>
        </w:rPr>
        <w:t>s patient transport. With limited income, taxis were unaffordable.</w:t>
      </w:r>
    </w:p>
    <w:p>
      <w:pPr>
        <w:pStyle w:val="Body"/>
        <w:rPr>
          <w:rStyle w:val="None"/>
          <w:rFonts w:ascii="Arial" w:cs="Arial" w:hAnsi="Arial" w:eastAsia="Arial"/>
        </w:rPr>
      </w:pPr>
      <w:r>
        <w:rPr>
          <w:rStyle w:val="None"/>
          <w:rFonts w:ascii="Arial" w:hAnsi="Arial"/>
          <w:rtl w:val="0"/>
          <w:lang w:val="en-US"/>
        </w:rPr>
        <w:t>Thanks to</w:t>
      </w:r>
      <w:r>
        <w:rPr>
          <w:rStyle w:val="None"/>
          <w:rFonts w:ascii="Arial" w:hAnsi="Arial" w:hint="default"/>
          <w:rtl w:val="0"/>
          <w:lang w:val="en-US"/>
        </w:rPr>
        <w:t> </w:t>
      </w:r>
      <w:r>
        <w:rPr>
          <w:rStyle w:val="None"/>
          <w:rFonts w:ascii="Arial" w:hAnsi="Arial"/>
          <w:rtl w:val="0"/>
          <w:lang w:val="en-US"/>
        </w:rPr>
        <w:t>Galloway Community Transport, B</w:t>
      </w:r>
      <w:r>
        <w:rPr>
          <w:rStyle w:val="None"/>
          <w:rFonts w:ascii="Arial" w:hAnsi="Arial" w:hint="default"/>
          <w:rtl w:val="0"/>
          <w:lang w:val="en-US"/>
        </w:rPr>
        <w:t>’</w:t>
      </w:r>
      <w:r>
        <w:rPr>
          <w:rStyle w:val="None"/>
          <w:rFonts w:ascii="Arial" w:hAnsi="Arial"/>
          <w:rtl w:val="0"/>
          <w:lang w:val="en-US"/>
        </w:rPr>
        <w:t>s support worker arranged a</w:t>
      </w:r>
      <w:r>
        <w:rPr>
          <w:rStyle w:val="None"/>
          <w:rFonts w:ascii="Arial" w:hAnsi="Arial" w:hint="default"/>
          <w:rtl w:val="0"/>
          <w:lang w:val="en-US"/>
        </w:rPr>
        <w:t> </w:t>
      </w:r>
      <w:r>
        <w:rPr>
          <w:rStyle w:val="None"/>
          <w:rFonts w:ascii="Arial" w:hAnsi="Arial"/>
          <w:rtl w:val="0"/>
          <w:lang w:val="nl-NL"/>
        </w:rPr>
        <w:t>door-to-door volunteer driver service</w:t>
      </w:r>
      <w:r>
        <w:rPr>
          <w:rStyle w:val="None"/>
          <w:rFonts w:ascii="Arial" w:hAnsi="Arial" w:hint="default"/>
          <w:rtl w:val="0"/>
          <w:lang w:val="en-US"/>
        </w:rPr>
        <w:t> </w:t>
      </w:r>
      <w:r>
        <w:rPr>
          <w:rStyle w:val="None"/>
          <w:rFonts w:ascii="Arial" w:hAnsi="Arial"/>
          <w:rtl w:val="0"/>
          <w:lang w:val="en-US"/>
        </w:rPr>
        <w:t>to take them to a vital health appointment in Dumfries. The driver waited and returned them home safely. Without this service, B would have missed their appointment, potentially worsening their health.</w:t>
      </w:r>
    </w:p>
    <w:p>
      <w:pPr>
        <w:pStyle w:val="Body"/>
        <w:rPr>
          <w:rStyle w:val="None"/>
          <w:rFonts w:ascii="Arial" w:cs="Arial" w:hAnsi="Arial" w:eastAsia="Arial"/>
          <w:b w:val="1"/>
          <w:bCs w:val="1"/>
        </w:rPr>
      </w:pPr>
      <w:r>
        <w:rPr>
          <w:rStyle w:val="None"/>
          <w:rFonts w:ascii="Arial" w:hAnsi="Arial"/>
          <w:b w:val="1"/>
          <w:bCs w:val="1"/>
          <w:rtl w:val="0"/>
          <w:lang w:val="it-IT"/>
        </w:rPr>
        <w:t>Conclusion</w:t>
      </w:r>
    </w:p>
    <w:p>
      <w:pPr>
        <w:pStyle w:val="Body"/>
        <w:rPr>
          <w:rStyle w:val="None"/>
          <w:rFonts w:ascii="Arial" w:cs="Arial" w:hAnsi="Arial" w:eastAsia="Arial"/>
        </w:rPr>
      </w:pPr>
      <w:r>
        <w:rPr>
          <w:rStyle w:val="None"/>
          <w:rFonts w:ascii="Arial" w:hAnsi="Arial"/>
          <w:rtl w:val="0"/>
          <w:lang w:val="en-US"/>
        </w:rPr>
        <w:t>This project demonstrates how</w:t>
      </w:r>
      <w:r>
        <w:rPr>
          <w:rStyle w:val="None"/>
          <w:rFonts w:ascii="Arial" w:hAnsi="Arial" w:hint="default"/>
          <w:rtl w:val="0"/>
          <w:lang w:val="en-US"/>
        </w:rPr>
        <w:t> </w:t>
      </w:r>
      <w:r>
        <w:rPr>
          <w:rStyle w:val="None"/>
          <w:rFonts w:ascii="Arial" w:hAnsi="Arial"/>
          <w:rtl w:val="0"/>
          <w:lang w:val="en-US"/>
        </w:rPr>
        <w:t>community-led transport solutions</w:t>
      </w:r>
      <w:r>
        <w:rPr>
          <w:rStyle w:val="None"/>
          <w:rFonts w:ascii="Arial" w:hAnsi="Arial" w:hint="default"/>
          <w:rtl w:val="0"/>
          <w:lang w:val="en-US"/>
        </w:rPr>
        <w:t> </w:t>
      </w:r>
      <w:r>
        <w:rPr>
          <w:rStyle w:val="None"/>
          <w:rFonts w:ascii="Arial" w:hAnsi="Arial"/>
          <w:rtl w:val="0"/>
          <w:lang w:val="en-US"/>
        </w:rPr>
        <w:t>can bridge critical gaps in rural connectivity, ensuring that even the most isolated residents can access essential services. It</w:t>
      </w:r>
      <w:r>
        <w:rPr>
          <w:rStyle w:val="None"/>
          <w:rFonts w:ascii="Arial" w:hAnsi="Arial" w:hint="default"/>
          <w:rtl w:val="0"/>
          <w:lang w:val="en-US"/>
        </w:rPr>
        <w:t>’</w:t>
      </w:r>
      <w:r>
        <w:rPr>
          <w:rStyle w:val="None"/>
          <w:rFonts w:ascii="Arial" w:hAnsi="Arial"/>
          <w:rtl w:val="0"/>
          <w:lang w:val="en-US"/>
        </w:rPr>
        <w:t>s a powerful example of how strategic collaboration and volunteering can transform lives and support</w:t>
      </w:r>
      <w:r>
        <w:rPr>
          <w:rStyle w:val="None"/>
          <w:rFonts w:ascii="Arial" w:hAnsi="Arial" w:hint="default"/>
          <w:rtl w:val="0"/>
          <w:lang w:val="en-US"/>
        </w:rPr>
        <w:t> </w:t>
      </w:r>
      <w:r>
        <w:rPr>
          <w:rStyle w:val="None"/>
          <w:rFonts w:ascii="Arial" w:hAnsi="Arial"/>
          <w:rtl w:val="0"/>
          <w:lang w:val="en-US"/>
        </w:rPr>
        <w:t>inclusive, equitable access</w:t>
      </w:r>
      <w:r>
        <w:rPr>
          <w:rStyle w:val="None"/>
          <w:rFonts w:ascii="Arial" w:hAnsi="Arial" w:hint="default"/>
          <w:rtl w:val="0"/>
          <w:lang w:val="en-US"/>
        </w:rPr>
        <w:t> </w:t>
      </w:r>
      <w:r>
        <w:rPr>
          <w:rStyle w:val="None"/>
          <w:rFonts w:ascii="Arial" w:hAnsi="Arial"/>
          <w:rtl w:val="0"/>
          <w:lang w:val="en-US"/>
        </w:rPr>
        <w:t>across Dumfries and Galloway.</w:t>
      </w:r>
    </w:p>
    <w:p>
      <w:pPr>
        <w:pStyle w:val="Body"/>
        <w:tabs>
          <w:tab w:val="left" w:pos="8030"/>
        </w:tabs>
        <w:rPr>
          <w:rStyle w:val="None"/>
          <w:rFonts w:ascii="Arial" w:cs="Arial" w:hAnsi="Arial" w:eastAsia="Arial"/>
        </w:rPr>
      </w:pPr>
    </w:p>
    <w:p>
      <w:pPr>
        <w:pStyle w:val="Body"/>
        <w:tabs>
          <w:tab w:val="left" w:pos="8030"/>
        </w:tabs>
        <w:rPr>
          <w:rStyle w:val="None"/>
          <w:rFonts w:ascii="Arial" w:cs="Arial" w:hAnsi="Arial" w:eastAsia="Arial"/>
        </w:rPr>
      </w:pPr>
    </w:p>
    <w:p>
      <w:pPr>
        <w:pStyle w:val="Body"/>
        <w:tabs>
          <w:tab w:val="left" w:pos="8030"/>
        </w:tabs>
        <w:rPr>
          <w:rStyle w:val="None"/>
          <w:rFonts w:ascii="Arial" w:cs="Arial" w:hAnsi="Arial" w:eastAsia="Arial"/>
        </w:rPr>
      </w:pPr>
    </w:p>
    <w:p>
      <w:pPr>
        <w:pStyle w:val="Body"/>
        <w:rPr>
          <w:rStyle w:val="None"/>
          <w:rFonts w:ascii="Arial" w:cs="Arial" w:hAnsi="Arial" w:eastAsia="Arial"/>
          <w:b w:val="1"/>
          <w:bCs w:val="1"/>
        </w:rPr>
      </w:pPr>
      <w:r>
        <w:rPr>
          <w:rStyle w:val="None"/>
          <w:rFonts w:ascii="Arial" w:hAnsi="Arial"/>
          <w:b w:val="1"/>
          <w:bCs w:val="1"/>
          <w:rtl w:val="0"/>
          <w:lang w:val="de-DE"/>
        </w:rPr>
        <w:t xml:space="preserve">Case Study 6: Stranraer Borderlands Place Plan </w:t>
      </w:r>
      <w:r>
        <w:rPr>
          <w:rStyle w:val="None"/>
          <w:rFonts w:ascii="Arial" w:hAnsi="Arial" w:hint="default"/>
          <w:b w:val="1"/>
          <w:bCs w:val="1"/>
          <w:rtl w:val="0"/>
          <w:lang w:val="en-US"/>
        </w:rPr>
        <w:t xml:space="preserve">– </w:t>
      </w:r>
      <w:r>
        <w:rPr>
          <w:rStyle w:val="None"/>
          <w:rFonts w:ascii="Arial" w:hAnsi="Arial"/>
          <w:b w:val="1"/>
          <w:bCs w:val="1"/>
          <w:rtl w:val="0"/>
          <w:lang w:val="en-US"/>
        </w:rPr>
        <w:t>A Community-Led Vision for the Future</w:t>
      </w:r>
    </w:p>
    <w:p>
      <w:pPr>
        <w:pStyle w:val="Body"/>
        <w:spacing w:after="0"/>
        <w:rPr>
          <w:rStyle w:val="None"/>
          <w:rFonts w:ascii="Arial" w:cs="Arial" w:hAnsi="Arial" w:eastAsia="Arial"/>
          <w:b w:val="1"/>
          <w:bCs w:val="1"/>
        </w:rPr>
      </w:pPr>
      <w:r>
        <w:rPr>
          <w:rStyle w:val="None"/>
          <w:rFonts w:ascii="Arial" w:hAnsi="Arial"/>
          <w:b w:val="1"/>
          <w:bCs w:val="1"/>
          <w:rtl w:val="0"/>
          <w:lang w:val="en-US"/>
        </w:rPr>
        <w:t>LOIP Outcome Contribution:</w:t>
      </w:r>
    </w:p>
    <w:p>
      <w:pPr>
        <w:pStyle w:val="Body"/>
        <w:spacing w:after="0"/>
        <w:rPr>
          <w:rStyle w:val="None"/>
          <w:rFonts w:ascii="Arial" w:cs="Arial" w:hAnsi="Arial" w:eastAsia="Arial"/>
        </w:rPr>
      </w:pPr>
      <w:r>
        <w:rPr>
          <w:rStyle w:val="None"/>
          <w:rFonts w:ascii="Arial" w:hAnsi="Arial"/>
          <w:rtl w:val="0"/>
          <w:lang w:val="en-US"/>
        </w:rPr>
        <w:t>LOIP Outcome 8:</w:t>
      </w:r>
      <w:r>
        <w:rPr>
          <w:rStyle w:val="None"/>
          <w:rFonts w:ascii="Arial" w:hAnsi="Arial" w:hint="default"/>
          <w:rtl w:val="0"/>
          <w:lang w:val="en-US"/>
        </w:rPr>
        <w:t> </w:t>
      </w:r>
      <w:r>
        <w:rPr>
          <w:rStyle w:val="None"/>
          <w:rFonts w:ascii="Arial" w:hAnsi="Arial"/>
          <w:rtl w:val="0"/>
          <w:lang w:val="en-US"/>
        </w:rPr>
        <w:t>Work with our local communities to develop an inclusive, thriving economy and to promote Fair Work.</w:t>
      </w:r>
    </w:p>
    <w:p>
      <w:pPr>
        <w:pStyle w:val="Body"/>
        <w:spacing w:after="0" w:line="240" w:lineRule="auto"/>
        <w:rPr>
          <w:rStyle w:val="None"/>
          <w:rFonts w:ascii="Arial" w:cs="Arial" w:hAnsi="Arial" w:eastAsia="Arial"/>
        </w:rPr>
      </w:pPr>
      <w:r>
        <w:rPr>
          <w:rStyle w:val="None"/>
          <w:rFonts w:ascii="Arial" w:hAnsi="Arial"/>
          <w:rtl w:val="0"/>
          <w:lang w:val="en-US"/>
        </w:rPr>
        <w:t>LOIP Outcome  11: Work with our communities to help reduce carbon emissions and positively combat Climate Change through education, behavioural change and supporting initiatives which will make a positive difference.</w:t>
      </w:r>
    </w:p>
    <w:p>
      <w:pPr>
        <w:pStyle w:val="Body"/>
        <w:spacing w:after="0" w:line="240" w:lineRule="auto"/>
        <w:rPr>
          <w:rStyle w:val="None"/>
          <w:rFonts w:ascii="Arial" w:cs="Arial" w:hAnsi="Arial" w:eastAsia="Arial"/>
        </w:rPr>
      </w:pPr>
      <w:r>
        <w:rPr>
          <w:rStyle w:val="None"/>
          <w:rFonts w:ascii="Arial" w:hAnsi="Arial"/>
          <w:rtl w:val="0"/>
          <w:lang w:val="en-US"/>
        </w:rPr>
        <w:t>LOIP Outcome 12: Develop high quality, affordable homes to meet identified demand and improve the quality of lives of our communities.</w:t>
      </w:r>
    </w:p>
    <w:p>
      <w:pPr>
        <w:pStyle w:val="Body"/>
        <w:spacing w:after="0" w:line="240" w:lineRule="auto"/>
        <w:rPr>
          <w:rStyle w:val="None"/>
          <w:rFonts w:ascii="Arial" w:cs="Arial" w:hAnsi="Arial" w:eastAsia="Arial"/>
        </w:rPr>
      </w:pPr>
    </w:p>
    <w:p>
      <w:pPr>
        <w:pStyle w:val="Body"/>
        <w:rPr>
          <w:rStyle w:val="None"/>
          <w:rFonts w:ascii="Arial" w:cs="Arial" w:hAnsi="Arial" w:eastAsia="Arial"/>
          <w:b w:val="1"/>
          <w:bCs w:val="1"/>
        </w:rPr>
      </w:pPr>
      <w:r>
        <w:rPr>
          <w:rStyle w:val="None"/>
          <w:rFonts w:ascii="Arial" w:hAnsi="Arial"/>
          <w:b w:val="1"/>
          <w:bCs w:val="1"/>
          <w:rtl w:val="0"/>
          <w:lang w:val="en-US"/>
        </w:rPr>
        <w:t>Background</w:t>
      </w:r>
    </w:p>
    <w:p>
      <w:pPr>
        <w:pStyle w:val="Body"/>
        <w:rPr>
          <w:rStyle w:val="None"/>
          <w:rFonts w:ascii="Arial" w:cs="Arial" w:hAnsi="Arial" w:eastAsia="Arial"/>
        </w:rPr>
      </w:pPr>
      <w:r>
        <w:rPr>
          <w:rStyle w:val="None"/>
          <w:rFonts w:ascii="Arial" w:hAnsi="Arial"/>
          <w:rtl w:val="0"/>
          <w:lang w:val="en-US"/>
        </w:rPr>
        <w:t>Stranraer was selected as one of five towns in Dumfries and Galloway to benefit from the</w:t>
      </w:r>
      <w:r>
        <w:rPr>
          <w:rStyle w:val="None"/>
          <w:rFonts w:ascii="Arial" w:hAnsi="Arial" w:hint="default"/>
          <w:rtl w:val="0"/>
          <w:lang w:val="en-US"/>
        </w:rPr>
        <w:t> </w:t>
      </w:r>
      <w:r>
        <w:rPr>
          <w:rStyle w:val="None"/>
          <w:rFonts w:ascii="Arial" w:hAnsi="Arial"/>
          <w:rtl w:val="0"/>
          <w:lang w:val="en-US"/>
        </w:rPr>
        <w:t>Borderlands Inclusive Growth Deal. To access funding, a</w:t>
      </w:r>
      <w:r>
        <w:rPr>
          <w:rStyle w:val="None"/>
          <w:rFonts w:ascii="Arial" w:hAnsi="Arial" w:hint="default"/>
          <w:rtl w:val="0"/>
          <w:lang w:val="en-US"/>
        </w:rPr>
        <w:t> </w:t>
      </w:r>
      <w:r>
        <w:rPr>
          <w:rStyle w:val="None"/>
          <w:rFonts w:ascii="Arial" w:hAnsi="Arial"/>
          <w:rtl w:val="0"/>
          <w:lang w:val="en-US"/>
        </w:rPr>
        <w:t>Place Plan</w:t>
      </w:r>
      <w:r>
        <w:rPr>
          <w:rStyle w:val="None"/>
          <w:rFonts w:ascii="Arial" w:hAnsi="Arial" w:hint="default"/>
          <w:rtl w:val="0"/>
          <w:lang w:val="en-US"/>
        </w:rPr>
        <w:t> </w:t>
      </w:r>
      <w:r>
        <w:rPr>
          <w:rStyle w:val="None"/>
          <w:rFonts w:ascii="Arial" w:hAnsi="Arial"/>
          <w:rtl w:val="0"/>
          <w:lang w:val="en-US"/>
        </w:rPr>
        <w:t>was required</w:t>
      </w:r>
      <w:r>
        <w:rPr>
          <w:rStyle w:val="None"/>
          <w:rFonts w:ascii="Arial" w:hAnsi="Arial" w:hint="default"/>
          <w:rtl w:val="0"/>
          <w:lang w:val="en-US"/>
        </w:rPr>
        <w:t>—</w:t>
      </w:r>
      <w:r>
        <w:rPr>
          <w:rStyle w:val="None"/>
          <w:rFonts w:ascii="Arial" w:hAnsi="Arial"/>
          <w:rtl w:val="0"/>
          <w:lang w:val="en-US"/>
        </w:rPr>
        <w:t>one that truly reflected the community</w:t>
      </w:r>
      <w:r>
        <w:rPr>
          <w:rStyle w:val="None"/>
          <w:rFonts w:ascii="Arial" w:hAnsi="Arial" w:hint="default"/>
          <w:rtl w:val="0"/>
          <w:lang w:val="en-US"/>
        </w:rPr>
        <w:t>’</w:t>
      </w:r>
      <w:r>
        <w:rPr>
          <w:rStyle w:val="None"/>
          <w:rFonts w:ascii="Arial" w:hAnsi="Arial"/>
          <w:rtl w:val="0"/>
          <w:lang w:val="en-US"/>
        </w:rPr>
        <w:t>s needs and aspirations. However, local residents were initially reluctant to engage, having experienced years of consultations with little visible impact.</w:t>
      </w:r>
    </w:p>
    <w:p>
      <w:pPr>
        <w:pStyle w:val="Body"/>
        <w:rPr>
          <w:rStyle w:val="None"/>
          <w:rFonts w:ascii="Arial" w:cs="Arial" w:hAnsi="Arial" w:eastAsia="Arial"/>
          <w:b w:val="1"/>
          <w:bCs w:val="1"/>
        </w:rPr>
      </w:pPr>
      <w:r>
        <w:rPr>
          <w:rStyle w:val="None"/>
          <w:rFonts w:ascii="Arial" w:hAnsi="Arial"/>
          <w:b w:val="1"/>
          <w:bCs w:val="1"/>
          <w:rtl w:val="0"/>
          <w:lang w:val="en-US"/>
        </w:rPr>
        <w:t>What We Did</w:t>
      </w:r>
    </w:p>
    <w:p>
      <w:pPr>
        <w:pStyle w:val="Body"/>
        <w:rPr>
          <w:rStyle w:val="None"/>
          <w:rFonts w:ascii="Arial" w:cs="Arial" w:hAnsi="Arial" w:eastAsia="Arial"/>
          <w:b w:val="1"/>
          <w:bCs w:val="1"/>
        </w:rPr>
      </w:pPr>
      <w:r>
        <w:rPr>
          <w:rStyle w:val="None"/>
          <w:rFonts w:ascii="Arial" w:hAnsi="Arial"/>
          <w:b w:val="1"/>
          <w:bCs w:val="1"/>
          <w:rtl w:val="0"/>
          <w:lang w:val="en-US"/>
        </w:rPr>
        <w:t>1. Connect</w:t>
      </w:r>
    </w:p>
    <w:p>
      <w:pPr>
        <w:pStyle w:val="Body"/>
        <w:rPr>
          <w:rStyle w:val="None"/>
          <w:rFonts w:ascii="Arial" w:cs="Arial" w:hAnsi="Arial" w:eastAsia="Arial"/>
        </w:rPr>
      </w:pPr>
      <w:r>
        <w:rPr>
          <w:rStyle w:val="None"/>
          <w:rFonts w:ascii="Arial" w:hAnsi="Arial"/>
          <w:rtl w:val="0"/>
          <w:lang w:val="en-US"/>
        </w:rPr>
        <w:t>A community-focused consultant led the process, starting with</w:t>
      </w:r>
      <w:r>
        <w:rPr>
          <w:rStyle w:val="None"/>
          <w:rFonts w:ascii="Arial" w:hAnsi="Arial" w:hint="default"/>
          <w:rtl w:val="0"/>
          <w:lang w:val="en-US"/>
        </w:rPr>
        <w:t> </w:t>
      </w:r>
      <w:r>
        <w:rPr>
          <w:rStyle w:val="None"/>
          <w:rFonts w:ascii="Arial" w:hAnsi="Arial"/>
          <w:rtl w:val="0"/>
          <w:lang w:val="en-US"/>
        </w:rPr>
        <w:t>deep engagement:</w:t>
      </w:r>
    </w:p>
    <w:p>
      <w:pPr>
        <w:pStyle w:val="Body"/>
        <w:numPr>
          <w:ilvl w:val="0"/>
          <w:numId w:val="63"/>
        </w:numPr>
        <w:bidi w:val="0"/>
        <w:ind w:right="0"/>
        <w:jc w:val="left"/>
        <w:rPr>
          <w:rFonts w:ascii="Arial" w:hAnsi="Arial"/>
          <w:rtl w:val="0"/>
          <w:lang w:val="en-US"/>
        </w:rPr>
      </w:pPr>
      <w:r>
        <w:rPr>
          <w:rStyle w:val="wacimagecontainer"/>
          <w:rFonts w:ascii="Arial" w:hAnsi="Arial"/>
          <w:rtl w:val="0"/>
          <w:lang w:val="en-US"/>
        </w:rPr>
        <w:t>A launch event at the Millennium Centre</w:t>
      </w:r>
    </w:p>
    <w:p>
      <w:pPr>
        <w:pStyle w:val="Body"/>
        <w:numPr>
          <w:ilvl w:val="0"/>
          <w:numId w:val="63"/>
        </w:numPr>
        <w:bidi w:val="0"/>
        <w:ind w:right="0"/>
        <w:jc w:val="left"/>
        <w:rPr>
          <w:rFonts w:ascii="Arial" w:hAnsi="Arial"/>
          <w:rtl w:val="0"/>
          <w:lang w:val="en-US"/>
        </w:rPr>
      </w:pPr>
      <w:r>
        <w:rPr>
          <w:rStyle w:val="wacimagecontainer"/>
          <w:rFonts w:ascii="Arial" w:hAnsi="Arial"/>
          <w:rtl w:val="0"/>
          <w:lang w:val="en-US"/>
        </w:rPr>
        <w:t>A six-month information hub</w:t>
      </w:r>
    </w:p>
    <w:p>
      <w:pPr>
        <w:pStyle w:val="Body"/>
        <w:numPr>
          <w:ilvl w:val="0"/>
          <w:numId w:val="63"/>
        </w:numPr>
        <w:bidi w:val="0"/>
        <w:ind w:right="0"/>
        <w:jc w:val="left"/>
        <w:rPr>
          <w:rFonts w:ascii="Arial" w:hAnsi="Arial"/>
          <w:rtl w:val="0"/>
          <w:lang w:val="en-US"/>
        </w:rPr>
      </w:pPr>
      <w:r>
        <w:rPr>
          <w:rStyle w:val="wacimagecontainer"/>
          <w:rFonts w:ascii="Arial" w:hAnsi="Arial"/>
          <w:rtl w:val="0"/>
          <w:lang w:val="en-US"/>
        </w:rPr>
        <w:t>Outreach to schools, youth groups, clubs, and social groups</w:t>
      </w:r>
    </w:p>
    <w:p>
      <w:pPr>
        <w:pStyle w:val="Body"/>
        <w:numPr>
          <w:ilvl w:val="0"/>
          <w:numId w:val="63"/>
        </w:numPr>
        <w:bidi w:val="0"/>
        <w:ind w:right="0"/>
        <w:jc w:val="left"/>
        <w:rPr>
          <w:rFonts w:ascii="Arial" w:hAnsi="Arial"/>
          <w:rtl w:val="0"/>
          <w:lang w:val="en-US"/>
        </w:rPr>
      </w:pPr>
      <w:r>
        <w:rPr>
          <w:rStyle w:val="wacimagecontainer"/>
          <w:rFonts w:ascii="Arial" w:hAnsi="Arial"/>
          <w:rtl w:val="0"/>
          <w:lang w:val="en-US"/>
        </w:rPr>
        <w:t>27 engagement events involving</w:t>
      </w:r>
      <w:r>
        <w:rPr>
          <w:rStyle w:val="None"/>
          <w:rFonts w:ascii="Arial" w:hAnsi="Arial" w:hint="default"/>
          <w:rtl w:val="0"/>
          <w:lang w:val="en-US"/>
        </w:rPr>
        <w:t> </w:t>
      </w:r>
      <w:r>
        <w:rPr>
          <w:rStyle w:val="wacimagecontainer"/>
          <w:rFonts w:ascii="Arial" w:hAnsi="Arial"/>
          <w:rtl w:val="0"/>
          <w:lang w:val="en-US"/>
        </w:rPr>
        <w:t>2,849 participants</w:t>
      </w:r>
    </w:p>
    <w:p>
      <w:pPr>
        <w:pStyle w:val="Body"/>
        <w:numPr>
          <w:ilvl w:val="0"/>
          <w:numId w:val="63"/>
        </w:numPr>
        <w:bidi w:val="0"/>
        <w:ind w:right="0"/>
        <w:jc w:val="left"/>
        <w:rPr>
          <w:rFonts w:ascii="Arial" w:hAnsi="Arial"/>
          <w:rtl w:val="0"/>
          <w:lang w:val="en-US"/>
        </w:rPr>
      </w:pPr>
      <w:r>
        <w:rPr>
          <w:rStyle w:val="wacimagecontainer"/>
          <w:rFonts w:ascii="Arial" w:hAnsi="Arial"/>
          <w:rtl w:val="0"/>
          <w:lang w:val="en-US"/>
        </w:rPr>
        <w:t>Tools used included the</w:t>
      </w:r>
      <w:r>
        <w:rPr>
          <w:rStyle w:val="None"/>
          <w:rFonts w:ascii="Arial" w:hAnsi="Arial" w:hint="default"/>
          <w:rtl w:val="0"/>
          <w:lang w:val="en-US"/>
        </w:rPr>
        <w:t> </w:t>
      </w:r>
      <w:r>
        <w:rPr>
          <w:rStyle w:val="wacimagecontainer"/>
          <w:rFonts w:ascii="Arial" w:hAnsi="Arial"/>
          <w:rtl w:val="0"/>
          <w:lang w:val="en-US"/>
        </w:rPr>
        <w:t>Scottish Government</w:t>
      </w:r>
      <w:r>
        <w:rPr>
          <w:rStyle w:val="None"/>
          <w:rFonts w:ascii="Arial" w:hAnsi="Arial" w:hint="default"/>
          <w:rtl w:val="0"/>
          <w:lang w:val="en-US"/>
        </w:rPr>
        <w:t>’</w:t>
      </w:r>
      <w:r>
        <w:rPr>
          <w:rStyle w:val="wacimagecontainer"/>
          <w:rFonts w:ascii="Arial" w:hAnsi="Arial"/>
          <w:rtl w:val="0"/>
          <w:lang w:val="en-US"/>
        </w:rPr>
        <w:t>s Place Standard Tool, ballot papers, and interactive boards</w:t>
      </w:r>
    </w:p>
    <w:p>
      <w:pPr>
        <w:pStyle w:val="Body"/>
        <w:rPr>
          <w:rStyle w:val="None"/>
          <w:rFonts w:ascii="Arial" w:cs="Arial" w:hAnsi="Arial" w:eastAsia="Arial"/>
          <w:b w:val="1"/>
          <w:bCs w:val="1"/>
        </w:rPr>
      </w:pPr>
      <w:r>
        <w:rPr>
          <w:rStyle w:val="None"/>
          <w:rFonts w:ascii="Arial" w:hAnsi="Arial"/>
          <w:b w:val="1"/>
          <w:bCs w:val="1"/>
          <w:rtl w:val="0"/>
          <w:lang w:val="it-IT"/>
        </w:rPr>
        <w:t>2. Collaborate</w:t>
      </w:r>
    </w:p>
    <w:p>
      <w:pPr>
        <w:pStyle w:val="Body"/>
        <w:rPr>
          <w:rStyle w:val="None"/>
          <w:rFonts w:ascii="Arial" w:cs="Arial" w:hAnsi="Arial" w:eastAsia="Arial"/>
        </w:rPr>
      </w:pPr>
      <w:r>
        <w:rPr>
          <w:rStyle w:val="None"/>
          <w:rFonts w:ascii="Arial" w:hAnsi="Arial"/>
          <w:rtl w:val="0"/>
          <w:lang w:val="en-US"/>
        </w:rPr>
        <w:t>Insights were grouped into five key themes:</w:t>
      </w:r>
    </w:p>
    <w:p>
      <w:pPr>
        <w:pStyle w:val="Body"/>
        <w:numPr>
          <w:ilvl w:val="0"/>
          <w:numId w:val="65"/>
        </w:numPr>
        <w:bidi w:val="0"/>
        <w:ind w:right="0"/>
        <w:jc w:val="left"/>
        <w:rPr>
          <w:rFonts w:ascii="Arial" w:hAnsi="Arial"/>
          <w:rtl w:val="0"/>
          <w:lang w:val="en-US"/>
        </w:rPr>
      </w:pPr>
      <w:r>
        <w:rPr>
          <w:rStyle w:val="wacimagecontainer"/>
          <w:rFonts w:ascii="Arial" w:hAnsi="Arial"/>
          <w:rtl w:val="0"/>
          <w:lang w:val="en-US"/>
        </w:rPr>
        <w:t>Quality of Life</w:t>
      </w:r>
    </w:p>
    <w:p>
      <w:pPr>
        <w:pStyle w:val="Body"/>
        <w:numPr>
          <w:ilvl w:val="0"/>
          <w:numId w:val="65"/>
        </w:numPr>
        <w:bidi w:val="0"/>
        <w:ind w:right="0"/>
        <w:jc w:val="left"/>
        <w:rPr>
          <w:rFonts w:ascii="Arial" w:hAnsi="Arial"/>
          <w:rtl w:val="0"/>
          <w:lang w:val="en-US"/>
        </w:rPr>
      </w:pPr>
      <w:r>
        <w:rPr>
          <w:rStyle w:val="wacimagecontainer"/>
          <w:rFonts w:ascii="Arial" w:hAnsi="Arial"/>
          <w:rtl w:val="0"/>
          <w:lang w:val="en-US"/>
        </w:rPr>
        <w:t>Work &amp; Opportunity</w:t>
      </w:r>
    </w:p>
    <w:p>
      <w:pPr>
        <w:pStyle w:val="Body"/>
        <w:numPr>
          <w:ilvl w:val="0"/>
          <w:numId w:val="65"/>
        </w:numPr>
        <w:bidi w:val="0"/>
        <w:ind w:right="0"/>
        <w:jc w:val="left"/>
        <w:rPr>
          <w:rFonts w:ascii="Arial" w:hAnsi="Arial"/>
          <w:rtl w:val="0"/>
          <w:lang w:val="en-US"/>
        </w:rPr>
      </w:pPr>
      <w:r>
        <w:rPr>
          <w:rStyle w:val="wacimagecontainer"/>
          <w:rFonts w:ascii="Arial" w:hAnsi="Arial"/>
          <w:rtl w:val="0"/>
          <w:lang w:val="en-US"/>
        </w:rPr>
        <w:t>Play and Creativity</w:t>
      </w:r>
    </w:p>
    <w:p>
      <w:pPr>
        <w:pStyle w:val="Body"/>
        <w:numPr>
          <w:ilvl w:val="0"/>
          <w:numId w:val="65"/>
        </w:numPr>
        <w:bidi w:val="0"/>
        <w:ind w:right="0"/>
        <w:jc w:val="left"/>
        <w:rPr>
          <w:rFonts w:ascii="Arial" w:hAnsi="Arial"/>
          <w:rtl w:val="0"/>
          <w:lang w:val="en-US"/>
        </w:rPr>
      </w:pPr>
      <w:r>
        <w:rPr>
          <w:rStyle w:val="wacimagecontainer"/>
          <w:rFonts w:ascii="Arial" w:hAnsi="Arial"/>
          <w:rtl w:val="0"/>
          <w:lang w:val="en-US"/>
        </w:rPr>
        <w:t>Engagement and Climate</w:t>
      </w:r>
    </w:p>
    <w:p>
      <w:pPr>
        <w:pStyle w:val="Body"/>
        <w:numPr>
          <w:ilvl w:val="0"/>
          <w:numId w:val="65"/>
        </w:numPr>
        <w:bidi w:val="0"/>
        <w:ind w:right="0"/>
        <w:jc w:val="left"/>
        <w:rPr>
          <w:rFonts w:ascii="Arial" w:hAnsi="Arial"/>
          <w:rtl w:val="0"/>
          <w:lang w:val="en-US"/>
        </w:rPr>
      </w:pPr>
      <w:r>
        <w:rPr>
          <w:rStyle w:val="wacimagecontainer"/>
          <w:rFonts w:ascii="Arial" w:hAnsi="Arial"/>
          <w:rtl w:val="0"/>
          <w:lang w:val="en-US"/>
        </w:rPr>
        <w:t>Pride and Citizenship</w:t>
      </w:r>
    </w:p>
    <w:p>
      <w:pPr>
        <w:pStyle w:val="Body"/>
        <w:rPr>
          <w:rStyle w:val="None"/>
          <w:rFonts w:ascii="Arial" w:cs="Arial" w:hAnsi="Arial" w:eastAsia="Arial"/>
        </w:rPr>
      </w:pPr>
      <w:r>
        <w:rPr>
          <w:rStyle w:val="None"/>
          <w:rFonts w:ascii="Arial" w:hAnsi="Arial"/>
          <w:rtl w:val="0"/>
        </w:rPr>
        <w:t>A</w:t>
      </w:r>
      <w:r>
        <w:rPr>
          <w:rStyle w:val="None"/>
          <w:rFonts w:ascii="Arial" w:hAnsi="Arial" w:hint="default"/>
          <w:rtl w:val="0"/>
          <w:lang w:val="en-US"/>
        </w:rPr>
        <w:t> </w:t>
      </w:r>
      <w:r>
        <w:rPr>
          <w:rStyle w:val="None"/>
          <w:rFonts w:ascii="Arial" w:hAnsi="Arial"/>
          <w:b w:val="1"/>
          <w:bCs w:val="1"/>
          <w:rtl w:val="0"/>
          <w:lang w:val="de-DE"/>
        </w:rPr>
        <w:t>Co-Lab</w:t>
      </w:r>
      <w:r>
        <w:rPr>
          <w:rStyle w:val="None"/>
          <w:rFonts w:ascii="Arial" w:hAnsi="Arial" w:hint="default"/>
          <w:rtl w:val="0"/>
          <w:lang w:val="en-US"/>
        </w:rPr>
        <w:t> </w:t>
      </w:r>
      <w:r>
        <w:rPr>
          <w:rStyle w:val="None"/>
          <w:rFonts w:ascii="Arial" w:hAnsi="Arial"/>
          <w:rtl w:val="0"/>
          <w:lang w:val="en-US"/>
        </w:rPr>
        <w:t>event helped identify and ballot six priority projects:</w:t>
      </w:r>
    </w:p>
    <w:p>
      <w:pPr>
        <w:pStyle w:val="Body"/>
        <w:numPr>
          <w:ilvl w:val="0"/>
          <w:numId w:val="67"/>
        </w:numPr>
        <w:bidi w:val="0"/>
        <w:spacing w:after="0" w:line="240" w:lineRule="auto"/>
        <w:ind w:right="0"/>
        <w:jc w:val="left"/>
        <w:rPr>
          <w:rFonts w:ascii="Arial" w:hAnsi="Arial"/>
          <w:rtl w:val="0"/>
          <w:lang w:val="en-US"/>
        </w:rPr>
      </w:pPr>
      <w:r>
        <w:rPr>
          <w:rStyle w:val="wacimagecontainer"/>
          <w:rFonts w:ascii="Arial" w:hAnsi="Arial"/>
          <w:rtl w:val="0"/>
          <w:lang w:val="en-US"/>
        </w:rPr>
        <w:t>East Pier Event Space</w:t>
      </w:r>
    </w:p>
    <w:p>
      <w:pPr>
        <w:pStyle w:val="Body"/>
        <w:numPr>
          <w:ilvl w:val="0"/>
          <w:numId w:val="67"/>
        </w:numPr>
        <w:bidi w:val="0"/>
        <w:spacing w:after="0" w:line="240" w:lineRule="auto"/>
        <w:ind w:right="0"/>
        <w:jc w:val="left"/>
        <w:rPr>
          <w:rFonts w:ascii="Arial" w:hAnsi="Arial"/>
          <w:rtl w:val="0"/>
          <w:lang w:val="en-US"/>
        </w:rPr>
      </w:pPr>
      <w:r>
        <w:rPr>
          <w:rStyle w:val="wacimagecontainer"/>
          <w:rFonts w:ascii="Arial" w:hAnsi="Arial"/>
          <w:rtl w:val="0"/>
          <w:lang w:val="en-US"/>
        </w:rPr>
        <w:t>Wet Weather Escapes</w:t>
      </w:r>
    </w:p>
    <w:p>
      <w:pPr>
        <w:pStyle w:val="Body"/>
        <w:numPr>
          <w:ilvl w:val="0"/>
          <w:numId w:val="67"/>
        </w:numPr>
        <w:bidi w:val="0"/>
        <w:spacing w:after="0" w:line="240" w:lineRule="auto"/>
        <w:ind w:right="0"/>
        <w:jc w:val="left"/>
        <w:rPr>
          <w:rFonts w:ascii="Arial" w:hAnsi="Arial"/>
          <w:rtl w:val="0"/>
          <w:lang w:val="en-US"/>
        </w:rPr>
      </w:pPr>
      <w:r>
        <w:rPr>
          <w:rStyle w:val="wacimagecontainer"/>
          <w:rFonts w:ascii="Arial" w:hAnsi="Arial"/>
          <w:rtl w:val="0"/>
          <w:lang w:val="en-US"/>
        </w:rPr>
        <w:t>The Big Makeover</w:t>
      </w:r>
    </w:p>
    <w:p>
      <w:pPr>
        <w:pStyle w:val="Body"/>
        <w:numPr>
          <w:ilvl w:val="0"/>
          <w:numId w:val="67"/>
        </w:numPr>
        <w:bidi w:val="0"/>
        <w:spacing w:after="0" w:line="240" w:lineRule="auto"/>
        <w:ind w:right="0"/>
        <w:jc w:val="left"/>
        <w:rPr>
          <w:rFonts w:ascii="Arial" w:hAnsi="Arial"/>
          <w:rtl w:val="0"/>
          <w:lang w:val="en-US"/>
        </w:rPr>
      </w:pPr>
      <w:r>
        <w:rPr>
          <w:rStyle w:val="wacimagecontainer"/>
          <w:rFonts w:ascii="Arial" w:hAnsi="Arial"/>
          <w:rtl w:val="0"/>
          <w:lang w:val="en-US"/>
        </w:rPr>
        <w:t>Revive: The Big Makeover</w:t>
      </w:r>
    </w:p>
    <w:p>
      <w:pPr>
        <w:pStyle w:val="Body"/>
        <w:numPr>
          <w:ilvl w:val="0"/>
          <w:numId w:val="67"/>
        </w:numPr>
        <w:bidi w:val="0"/>
        <w:spacing w:after="0" w:line="240" w:lineRule="auto"/>
        <w:ind w:right="0"/>
        <w:jc w:val="left"/>
        <w:rPr>
          <w:rFonts w:ascii="Arial" w:hAnsi="Arial"/>
          <w:rtl w:val="0"/>
          <w:lang w:val="en-US"/>
        </w:rPr>
      </w:pPr>
      <w:r>
        <w:rPr>
          <w:rStyle w:val="wacimagecontainer"/>
          <w:rFonts w:ascii="Arial" w:hAnsi="Arial"/>
          <w:rtl w:val="0"/>
          <w:lang w:val="en-US"/>
        </w:rPr>
        <w:t>Stanctuary Outdoor Nursery</w:t>
      </w:r>
    </w:p>
    <w:p>
      <w:pPr>
        <w:pStyle w:val="Body"/>
        <w:numPr>
          <w:ilvl w:val="0"/>
          <w:numId w:val="67"/>
        </w:numPr>
        <w:bidi w:val="0"/>
        <w:spacing w:after="0" w:line="240" w:lineRule="auto"/>
        <w:ind w:right="0"/>
        <w:jc w:val="left"/>
        <w:rPr>
          <w:rFonts w:ascii="Arial" w:hAnsi="Arial"/>
          <w:rtl w:val="0"/>
          <w:lang w:val="de-DE"/>
        </w:rPr>
      </w:pPr>
      <w:r>
        <w:rPr>
          <w:rStyle w:val="wacimagecontainer"/>
          <w:rFonts w:ascii="Arial" w:hAnsi="Arial"/>
          <w:rtl w:val="0"/>
          <w:lang w:val="de-DE"/>
        </w:rPr>
        <w:t>Dick</w:t>
      </w:r>
      <w:r>
        <w:rPr>
          <w:rStyle w:val="None"/>
          <w:rFonts w:ascii="Arial" w:hAnsi="Arial" w:hint="default"/>
          <w:rtl w:val="0"/>
          <w:lang w:val="en-US"/>
        </w:rPr>
        <w:t>’</w:t>
      </w:r>
      <w:r>
        <w:rPr>
          <w:rStyle w:val="wacimagecontainer"/>
          <w:rFonts w:ascii="Arial" w:hAnsi="Arial"/>
          <w:rtl w:val="0"/>
          <w:lang w:val="en-US"/>
        </w:rPr>
        <w:t>s Hill Wellbeing Hub</w:t>
      </w:r>
    </w:p>
    <w:p>
      <w:pPr>
        <w:pStyle w:val="Body"/>
        <w:spacing w:after="0" w:line="240" w:lineRule="auto"/>
        <w:ind w:left="714" w:firstLine="0"/>
        <w:rPr>
          <w:rStyle w:val="None"/>
          <w:rFonts w:ascii="Arial" w:cs="Arial" w:hAnsi="Arial" w:eastAsia="Arial"/>
        </w:rPr>
      </w:pPr>
    </w:p>
    <w:p>
      <w:pPr>
        <w:pStyle w:val="Body"/>
        <w:rPr>
          <w:rStyle w:val="None"/>
          <w:rFonts w:ascii="Arial" w:cs="Arial" w:hAnsi="Arial" w:eastAsia="Arial"/>
          <w:b w:val="1"/>
          <w:bCs w:val="1"/>
        </w:rPr>
      </w:pPr>
      <w:r>
        <w:rPr>
          <w:rStyle w:val="None"/>
          <w:rFonts w:ascii="Arial" w:hAnsi="Arial"/>
          <w:b w:val="1"/>
          <w:bCs w:val="1"/>
          <w:rtl w:val="0"/>
        </w:rPr>
        <w:t>3. Co-Design</w:t>
      </w:r>
    </w:p>
    <w:p>
      <w:pPr>
        <w:pStyle w:val="Body"/>
        <w:spacing w:after="0"/>
        <w:rPr>
          <w:rStyle w:val="None"/>
          <w:rFonts w:ascii="Arial" w:cs="Arial" w:hAnsi="Arial" w:eastAsia="Arial"/>
        </w:rPr>
      </w:pPr>
      <w:r>
        <w:rPr>
          <w:rStyle w:val="None"/>
          <w:rFonts w:ascii="Arial" w:hAnsi="Arial"/>
          <w:rtl w:val="0"/>
        </w:rPr>
        <w:t>A</w:t>
      </w:r>
      <w:r>
        <w:rPr>
          <w:rStyle w:val="None"/>
          <w:rFonts w:ascii="Arial" w:hAnsi="Arial" w:hint="default"/>
          <w:rtl w:val="0"/>
          <w:lang w:val="en-US"/>
        </w:rPr>
        <w:t> </w:t>
      </w:r>
      <w:r>
        <w:rPr>
          <w:rStyle w:val="None"/>
          <w:rFonts w:ascii="Arial" w:hAnsi="Arial"/>
          <w:b w:val="1"/>
          <w:bCs w:val="1"/>
          <w:rtl w:val="0"/>
          <w:lang w:val="en-US"/>
        </w:rPr>
        <w:t>Town Team</w:t>
      </w:r>
      <w:r>
        <w:rPr>
          <w:rStyle w:val="None"/>
          <w:rFonts w:ascii="Arial" w:hAnsi="Arial" w:hint="default"/>
          <w:rtl w:val="0"/>
          <w:lang w:val="en-US"/>
        </w:rPr>
        <w:t> </w:t>
      </w:r>
      <w:r>
        <w:rPr>
          <w:rStyle w:val="None"/>
          <w:rFonts w:ascii="Arial" w:hAnsi="Arial"/>
          <w:rtl w:val="0"/>
          <w:lang w:val="en-US"/>
        </w:rPr>
        <w:t>was formed, comprising local stakeholders from business, education, health, housing, and community sectors. This team:</w:t>
      </w:r>
    </w:p>
    <w:p>
      <w:pPr>
        <w:pStyle w:val="Body"/>
        <w:numPr>
          <w:ilvl w:val="0"/>
          <w:numId w:val="69"/>
        </w:numPr>
        <w:bidi w:val="0"/>
        <w:spacing w:after="0" w:line="240" w:lineRule="auto"/>
        <w:ind w:right="0"/>
        <w:jc w:val="left"/>
        <w:rPr>
          <w:rFonts w:ascii="Arial" w:hAnsi="Arial"/>
          <w:rtl w:val="0"/>
          <w:lang w:val="en-US"/>
        </w:rPr>
      </w:pPr>
      <w:r>
        <w:rPr>
          <w:rStyle w:val="wacimagecontainer"/>
          <w:rFonts w:ascii="Arial" w:hAnsi="Arial"/>
          <w:rtl w:val="0"/>
          <w:lang w:val="en-US"/>
        </w:rPr>
        <w:t>Oversaw the plan</w:t>
      </w:r>
      <w:r>
        <w:rPr>
          <w:rStyle w:val="None"/>
          <w:rFonts w:ascii="Arial" w:hAnsi="Arial" w:hint="default"/>
          <w:rtl w:val="0"/>
          <w:lang w:val="en-US"/>
        </w:rPr>
        <w:t>’</w:t>
      </w:r>
      <w:r>
        <w:rPr>
          <w:rStyle w:val="wacimagecontainer"/>
          <w:rFonts w:ascii="Arial" w:hAnsi="Arial"/>
          <w:rtl w:val="0"/>
          <w:lang w:val="en-US"/>
        </w:rPr>
        <w:t>s development</w:t>
      </w:r>
    </w:p>
    <w:p>
      <w:pPr>
        <w:pStyle w:val="Body"/>
        <w:numPr>
          <w:ilvl w:val="0"/>
          <w:numId w:val="69"/>
        </w:numPr>
        <w:bidi w:val="0"/>
        <w:spacing w:after="0" w:line="240" w:lineRule="auto"/>
        <w:ind w:right="0"/>
        <w:jc w:val="left"/>
        <w:rPr>
          <w:rFonts w:ascii="Arial" w:hAnsi="Arial"/>
          <w:rtl w:val="0"/>
          <w:lang w:val="en-US"/>
        </w:rPr>
      </w:pPr>
      <w:r>
        <w:rPr>
          <w:rStyle w:val="wacimagecontainer"/>
          <w:rFonts w:ascii="Arial" w:hAnsi="Arial"/>
          <w:rtl w:val="0"/>
          <w:lang w:val="en-US"/>
        </w:rPr>
        <w:t>Ensured community ownership</w:t>
      </w:r>
    </w:p>
    <w:p>
      <w:pPr>
        <w:pStyle w:val="Body"/>
        <w:numPr>
          <w:ilvl w:val="0"/>
          <w:numId w:val="69"/>
        </w:numPr>
        <w:bidi w:val="0"/>
        <w:spacing w:after="0" w:line="240" w:lineRule="auto"/>
        <w:ind w:right="0"/>
        <w:jc w:val="left"/>
        <w:rPr>
          <w:rFonts w:ascii="Arial" w:hAnsi="Arial"/>
          <w:rtl w:val="0"/>
          <w:lang w:val="en-US"/>
        </w:rPr>
      </w:pPr>
      <w:r>
        <w:rPr>
          <w:rStyle w:val="wacimagecontainer"/>
          <w:rFonts w:ascii="Arial" w:hAnsi="Arial"/>
          <w:rtl w:val="0"/>
          <w:lang w:val="en-US"/>
        </w:rPr>
        <w:t>Will continue to guide project delivery</w:t>
      </w:r>
    </w:p>
    <w:p>
      <w:pPr>
        <w:pStyle w:val="Body"/>
        <w:spacing w:after="0" w:line="240" w:lineRule="auto"/>
        <w:ind w:left="714" w:firstLine="0"/>
        <w:rPr>
          <w:rStyle w:val="None"/>
          <w:rFonts w:ascii="Arial" w:cs="Arial" w:hAnsi="Arial" w:eastAsia="Arial"/>
        </w:rPr>
      </w:pPr>
    </w:p>
    <w:p>
      <w:pPr>
        <w:pStyle w:val="Body"/>
        <w:rPr>
          <w:rStyle w:val="None"/>
          <w:rFonts w:ascii="Arial" w:cs="Arial" w:hAnsi="Arial" w:eastAsia="Arial"/>
          <w:b w:val="1"/>
          <w:bCs w:val="1"/>
        </w:rPr>
      </w:pPr>
      <w:r>
        <w:rPr>
          <w:rStyle w:val="None"/>
          <w:rFonts w:ascii="Arial" w:hAnsi="Arial"/>
          <w:b w:val="1"/>
          <w:bCs w:val="1"/>
          <w:rtl w:val="0"/>
          <w:lang w:val="en-US"/>
        </w:rPr>
        <w:t>4. Create the Plan</w:t>
      </w:r>
    </w:p>
    <w:p>
      <w:pPr>
        <w:pStyle w:val="Body"/>
        <w:rPr>
          <w:rStyle w:val="None"/>
          <w:rFonts w:ascii="Arial" w:cs="Arial" w:hAnsi="Arial" w:eastAsia="Arial"/>
        </w:rPr>
      </w:pPr>
      <w:r>
        <w:rPr>
          <w:rStyle w:val="None"/>
          <w:rFonts w:ascii="Arial" w:hAnsi="Arial"/>
          <w:rtl w:val="0"/>
          <w:lang w:val="en-US"/>
        </w:rPr>
        <w:t>The final</w:t>
      </w:r>
      <w:r>
        <w:rPr>
          <w:rStyle w:val="None"/>
          <w:rFonts w:ascii="Arial" w:hAnsi="Arial" w:hint="default"/>
          <w:rtl w:val="0"/>
          <w:lang w:val="en-US"/>
        </w:rPr>
        <w:t> </w:t>
      </w:r>
      <w:r>
        <w:rPr>
          <w:rStyle w:val="None"/>
          <w:rFonts w:ascii="Arial" w:hAnsi="Arial"/>
          <w:rtl w:val="0"/>
          <w:lang w:val="es-ES_tradnl"/>
        </w:rPr>
        <w:t>Stranraer Place Plan</w:t>
      </w:r>
      <w:r>
        <w:rPr>
          <w:rStyle w:val="None"/>
          <w:rFonts w:ascii="Arial" w:hAnsi="Arial" w:hint="default"/>
          <w:rtl w:val="0"/>
          <w:lang w:val="en-US"/>
        </w:rPr>
        <w:t> </w:t>
      </w:r>
      <w:r>
        <w:rPr>
          <w:rStyle w:val="None"/>
          <w:rFonts w:ascii="Arial" w:hAnsi="Arial"/>
          <w:rtl w:val="0"/>
          <w:lang w:val="en-US"/>
        </w:rPr>
        <w:t>was presented to elected members and the public, followed by a month-long consultation. It has now been approved and will inform the development of the</w:t>
      </w:r>
      <w:r>
        <w:rPr>
          <w:rStyle w:val="None"/>
          <w:rFonts w:ascii="Arial" w:hAnsi="Arial" w:hint="default"/>
          <w:rtl w:val="0"/>
          <w:lang w:val="en-US"/>
        </w:rPr>
        <w:t> </w:t>
      </w:r>
      <w:r>
        <w:rPr>
          <w:rStyle w:val="None"/>
          <w:rFonts w:ascii="Arial" w:hAnsi="Arial"/>
          <w:rtl w:val="0"/>
          <w:lang w:val="en-US"/>
        </w:rPr>
        <w:t>Borderlands Town Investment Plan (BTIP).</w:t>
      </w:r>
    </w:p>
    <w:p>
      <w:pPr>
        <w:pStyle w:val="Body"/>
        <w:rPr>
          <w:rStyle w:val="None"/>
          <w:rFonts w:ascii="Arial" w:cs="Arial" w:hAnsi="Arial" w:eastAsia="Arial"/>
          <w:b w:val="1"/>
          <w:bCs w:val="1"/>
        </w:rPr>
      </w:pPr>
    </w:p>
    <w:p>
      <w:pPr>
        <w:pStyle w:val="Body"/>
        <w:rPr>
          <w:rStyle w:val="None"/>
          <w:rFonts w:ascii="Arial" w:cs="Arial" w:hAnsi="Arial" w:eastAsia="Arial"/>
          <w:b w:val="1"/>
          <w:bCs w:val="1"/>
        </w:rPr>
      </w:pPr>
      <w:r>
        <w:rPr>
          <w:rStyle w:val="None"/>
          <w:rFonts w:ascii="Arial" w:hAnsi="Arial"/>
          <w:b w:val="1"/>
          <w:bCs w:val="1"/>
          <w:rtl w:val="0"/>
          <w:lang w:val="en-US"/>
        </w:rPr>
        <w:t>Impact</w:t>
      </w:r>
    </w:p>
    <w:p>
      <w:pPr>
        <w:pStyle w:val="Body"/>
        <w:numPr>
          <w:ilvl w:val="0"/>
          <w:numId w:val="71"/>
        </w:numPr>
        <w:bidi w:val="0"/>
        <w:spacing w:after="0"/>
        <w:ind w:right="0"/>
        <w:jc w:val="left"/>
        <w:rPr>
          <w:rFonts w:ascii="Arial" w:hAnsi="Arial"/>
          <w:rtl w:val="0"/>
          <w:lang w:val="en-US"/>
        </w:rPr>
      </w:pPr>
      <w:r>
        <w:rPr>
          <w:rStyle w:val="wacimagecontainer"/>
          <w:rFonts w:ascii="Arial" w:hAnsi="Arial"/>
          <w:rtl w:val="0"/>
          <w:lang w:val="en-US"/>
        </w:rPr>
        <w:t>Community ownership</w:t>
      </w:r>
      <w:r>
        <w:rPr>
          <w:rStyle w:val="None"/>
          <w:rFonts w:ascii="Arial" w:hAnsi="Arial" w:hint="default"/>
          <w:rtl w:val="0"/>
          <w:lang w:val="en-US"/>
        </w:rPr>
        <w:t> </w:t>
      </w:r>
      <w:r>
        <w:rPr>
          <w:rStyle w:val="wacimagecontainer"/>
          <w:rFonts w:ascii="Arial" w:hAnsi="Arial"/>
          <w:rtl w:val="0"/>
          <w:lang w:val="en-US"/>
        </w:rPr>
        <w:t>restored through meaningful engagement</w:t>
      </w:r>
    </w:p>
    <w:p>
      <w:pPr>
        <w:pStyle w:val="Body"/>
        <w:numPr>
          <w:ilvl w:val="0"/>
          <w:numId w:val="71"/>
        </w:numPr>
        <w:bidi w:val="0"/>
        <w:spacing w:after="0"/>
        <w:ind w:right="0"/>
        <w:jc w:val="left"/>
        <w:rPr>
          <w:rFonts w:ascii="Arial" w:hAnsi="Arial"/>
          <w:rtl w:val="0"/>
          <w:lang w:val="en-US"/>
        </w:rPr>
      </w:pPr>
      <w:r>
        <w:rPr>
          <w:rStyle w:val="wacimagecontainer"/>
          <w:rFonts w:ascii="Arial" w:hAnsi="Arial"/>
          <w:rtl w:val="0"/>
          <w:lang w:val="en-US"/>
        </w:rPr>
        <w:t>Priority projects</w:t>
      </w:r>
      <w:r>
        <w:rPr>
          <w:rStyle w:val="None"/>
          <w:rFonts w:ascii="Arial" w:hAnsi="Arial" w:hint="default"/>
          <w:rtl w:val="0"/>
          <w:lang w:val="en-US"/>
        </w:rPr>
        <w:t> </w:t>
      </w:r>
      <w:r>
        <w:rPr>
          <w:rStyle w:val="wacimagecontainer"/>
          <w:rFonts w:ascii="Arial" w:hAnsi="Arial"/>
          <w:rtl w:val="0"/>
          <w:lang w:val="en-US"/>
        </w:rPr>
        <w:t>identified by the people of Stranraer</w:t>
      </w:r>
    </w:p>
    <w:p>
      <w:pPr>
        <w:pStyle w:val="Body"/>
        <w:numPr>
          <w:ilvl w:val="0"/>
          <w:numId w:val="71"/>
        </w:numPr>
        <w:bidi w:val="0"/>
        <w:spacing w:after="0"/>
        <w:ind w:right="0"/>
        <w:jc w:val="left"/>
        <w:rPr>
          <w:rFonts w:ascii="Arial" w:hAnsi="Arial"/>
          <w:rtl w:val="0"/>
        </w:rPr>
      </w:pPr>
      <w:r>
        <w:rPr>
          <w:rStyle w:val="wacimagecontainer"/>
          <w:rFonts w:ascii="Arial" w:hAnsi="Arial"/>
          <w:rtl w:val="0"/>
        </w:rPr>
        <w:t>A</w:t>
      </w:r>
      <w:r>
        <w:rPr>
          <w:rStyle w:val="None"/>
          <w:rFonts w:ascii="Arial" w:hAnsi="Arial" w:hint="default"/>
          <w:rtl w:val="0"/>
          <w:lang w:val="en-US"/>
        </w:rPr>
        <w:t> </w:t>
      </w:r>
      <w:r>
        <w:rPr>
          <w:rStyle w:val="wacimagecontainer"/>
          <w:rFonts w:ascii="Arial" w:hAnsi="Arial"/>
          <w:rtl w:val="0"/>
          <w:lang w:val="en-US"/>
        </w:rPr>
        <w:t>Town Team</w:t>
      </w:r>
      <w:r>
        <w:rPr>
          <w:rStyle w:val="None"/>
          <w:rFonts w:ascii="Arial" w:hAnsi="Arial" w:hint="default"/>
          <w:rtl w:val="0"/>
          <w:lang w:val="en-US"/>
        </w:rPr>
        <w:t> </w:t>
      </w:r>
      <w:r>
        <w:rPr>
          <w:rStyle w:val="wacimagecontainer"/>
          <w:rFonts w:ascii="Arial" w:hAnsi="Arial"/>
          <w:rtl w:val="0"/>
          <w:lang w:val="en-US"/>
        </w:rPr>
        <w:t>established to ensure long-term delivery and accountability</w:t>
      </w:r>
    </w:p>
    <w:p>
      <w:pPr>
        <w:pStyle w:val="Body"/>
        <w:numPr>
          <w:ilvl w:val="0"/>
          <w:numId w:val="71"/>
        </w:numPr>
        <w:bidi w:val="0"/>
        <w:spacing w:after="0"/>
        <w:ind w:right="0"/>
        <w:jc w:val="left"/>
        <w:rPr>
          <w:rFonts w:ascii="Arial" w:hAnsi="Arial"/>
          <w:rtl w:val="0"/>
          <w:lang w:val="en-US"/>
        </w:rPr>
      </w:pPr>
      <w:r>
        <w:rPr>
          <w:rStyle w:val="wacimagecontainer"/>
          <w:rFonts w:ascii="Arial" w:hAnsi="Arial"/>
          <w:rtl w:val="0"/>
          <w:lang w:val="en-US"/>
        </w:rPr>
        <w:t>A clear, community-driven roadmap for investment and regeneration</w:t>
      </w:r>
    </w:p>
    <w:p>
      <w:pPr>
        <w:pStyle w:val="Default"/>
        <w:numPr>
          <w:ilvl w:val="0"/>
          <w:numId w:val="71"/>
        </w:numPr>
        <w:bidi w:val="0"/>
        <w:ind w:right="0"/>
        <w:jc w:val="left"/>
        <w:rPr>
          <w:rtl w:val="0"/>
          <w:lang w:val="en-US"/>
        </w:rPr>
      </w:pPr>
      <w:r>
        <w:rPr>
          <w:rStyle w:val="None"/>
          <w:outline w:val="0"/>
          <w:color w:val="000000"/>
          <w:u w:color="000000"/>
          <w:rtl w:val="0"/>
          <w:lang w:val="en-US"/>
          <w14:textFill>
            <w14:solidFill>
              <w14:srgbClr w14:val="000000"/>
            </w14:solidFill>
          </w14:textFill>
        </w:rPr>
        <w:t xml:space="preserve">Provision of Supported Accommodation for people with Complex Needs </w:t>
      </w:r>
    </w:p>
    <w:p>
      <w:pPr>
        <w:pStyle w:val="Default"/>
        <w:numPr>
          <w:ilvl w:val="0"/>
          <w:numId w:val="72"/>
        </w:numPr>
        <w:bidi w:val="0"/>
        <w:ind w:right="0"/>
        <w:jc w:val="left"/>
        <w:rPr>
          <w:rtl w:val="0"/>
          <w:lang w:val="en-US"/>
        </w:rPr>
      </w:pP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710,000 secured from Scottish Government to support two key projects outlined in the Place Plan with a focus on town centre regeneration:</w:t>
      </w:r>
    </w:p>
    <w:p>
      <w:pPr>
        <w:pStyle w:val="Default"/>
        <w:ind w:left="720" w:firstLine="0"/>
        <w:rPr>
          <w:rStyle w:val="None"/>
          <w:outline w:val="0"/>
          <w:color w:val="000000"/>
          <w:u w:color="000000"/>
          <w14:textFill>
            <w14:solidFill>
              <w14:srgbClr w14:val="000000"/>
            </w14:solidFill>
          </w14:textFill>
        </w:rPr>
      </w:pPr>
    </w:p>
    <w:p>
      <w:pPr>
        <w:pStyle w:val="Default"/>
        <w:numPr>
          <w:ilvl w:val="0"/>
          <w:numId w:val="74"/>
        </w:numPr>
        <w:bidi w:val="0"/>
        <w:ind w:right="0"/>
        <w:jc w:val="left"/>
        <w:rPr>
          <w:rtl w:val="0"/>
          <w:lang w:val="en-US"/>
        </w:rPr>
      </w:pPr>
      <w:r>
        <w:rPr>
          <w:rStyle w:val="None"/>
          <w:outline w:val="0"/>
          <w:color w:val="000000"/>
          <w:u w:color="000000"/>
          <w:rtl w:val="0"/>
          <w:lang w:val="en-US"/>
          <w14:textFill>
            <w14:solidFill>
              <w14:srgbClr w14:val="000000"/>
            </w14:solidFill>
          </w14:textFill>
        </w:rPr>
        <w:t xml:space="preserve">Town Centre Living </w:t>
      </w:r>
      <w:r>
        <w:rPr>
          <w:rStyle w:val="None"/>
          <w:outline w:val="0"/>
          <w:color w:val="000000"/>
          <w:u w:color="000000"/>
          <w:rtl w:val="0"/>
          <w:lang w:val="en-US"/>
          <w14:textFill>
            <w14:solidFill>
              <w14:srgbClr w14:val="000000"/>
            </w14:solidFill>
          </w14:textFill>
        </w:rPr>
        <w:t xml:space="preserve">– </w:t>
      </w:r>
      <w:r>
        <w:rPr>
          <w:rStyle w:val="None"/>
          <w:outline w:val="0"/>
          <w:color w:val="000000"/>
          <w:u w:color="000000"/>
          <w:rtl w:val="0"/>
          <w:lang w:val="en-US"/>
          <w14:textFill>
            <w14:solidFill>
              <w14:srgbClr w14:val="000000"/>
            </w14:solidFill>
          </w14:textFill>
        </w:rPr>
        <w:t>creation of new residential and enterprise spaces in the heart of the town; and</w:t>
      </w:r>
    </w:p>
    <w:p>
      <w:pPr>
        <w:pStyle w:val="Default"/>
        <w:numPr>
          <w:ilvl w:val="0"/>
          <w:numId w:val="75"/>
        </w:numPr>
        <w:bidi w:val="0"/>
        <w:ind w:right="0"/>
        <w:jc w:val="left"/>
        <w:rPr>
          <w:sz w:val="24"/>
          <w:szCs w:val="24"/>
          <w:rtl w:val="0"/>
          <w:lang w:val="en-US"/>
        </w:rPr>
      </w:pPr>
      <w:r>
        <w:rPr>
          <w:rStyle w:val="None"/>
          <w:outline w:val="0"/>
          <w:color w:val="000000"/>
          <w:sz w:val="24"/>
          <w:szCs w:val="24"/>
          <w:u w:color="000000"/>
          <w:rtl w:val="0"/>
          <w:lang w:val="en-US"/>
          <w14:textFill>
            <w14:solidFill>
              <w14:srgbClr w14:val="000000"/>
            </w14:solidFill>
          </w14:textFill>
        </w:rPr>
        <w:t xml:space="preserve"> The Dickshill Community Hub </w:t>
      </w:r>
      <w:r>
        <w:rPr>
          <w:rStyle w:val="None"/>
          <w:outline w:val="0"/>
          <w:color w:val="000000"/>
          <w:sz w:val="24"/>
          <w:szCs w:val="24"/>
          <w:u w:color="000000"/>
          <w:rtl w:val="0"/>
          <w:lang w:val="en-US"/>
          <w14:textFill>
            <w14:solidFill>
              <w14:srgbClr w14:val="000000"/>
            </w14:solidFill>
          </w14:textFill>
        </w:rPr>
        <w:t xml:space="preserve">– </w:t>
      </w:r>
      <w:r>
        <w:rPr>
          <w:rStyle w:val="None"/>
          <w:outline w:val="0"/>
          <w:color w:val="000000"/>
          <w:sz w:val="24"/>
          <w:szCs w:val="24"/>
          <w:u w:color="000000"/>
          <w:rtl w:val="0"/>
          <w:lang w:val="en-US"/>
          <w14:textFill>
            <w14:solidFill>
              <w14:srgbClr w14:val="000000"/>
            </w14:solidFill>
          </w14:textFill>
        </w:rPr>
        <w:t>a new facility designed to service and empower the local community</w:t>
      </w:r>
      <w:r>
        <w:rPr>
          <w:rStyle w:val="None"/>
          <w:outline w:val="0"/>
          <w:color w:val="000000"/>
          <w:sz w:val="22"/>
          <w:szCs w:val="22"/>
          <w:u w:color="000000"/>
          <w:rtl w:val="0"/>
          <w:lang w:val="en-US"/>
          <w14:textFill>
            <w14:solidFill>
              <w14:srgbClr w14:val="000000"/>
            </w14:solidFill>
          </w14:textFill>
        </w:rPr>
        <w:t>.</w:t>
      </w:r>
    </w:p>
    <w:tbl>
      <w:tblPr>
        <w:tblW w:w="1394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1d7"/>
        <w:tblLayout w:type="fixed"/>
      </w:tblPr>
      <w:tblGrid>
        <w:gridCol w:w="6974"/>
        <w:gridCol w:w="6974"/>
      </w:tblGrid>
      <w:tr>
        <w:tblPrEx>
          <w:shd w:val="clear" w:color="auto" w:fill="cad1d7"/>
        </w:tblPrEx>
        <w:trPr>
          <w:trHeight w:val="6468" w:hRule="atLeast"/>
        </w:trPr>
        <w:tc>
          <w:tcPr>
            <w:tcW w:type="dxa" w:w="69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tabs>
                <w:tab w:val="left" w:pos="8030"/>
              </w:tabs>
            </w:pPr>
            <w:r>
              <w:rPr>
                <w:rStyle w:val="None"/>
                <w:rFonts w:ascii="Segoe UI" w:cs="Segoe UI" w:hAnsi="Segoe UI" w:eastAsia="Segoe UI"/>
                <w:sz w:val="18"/>
                <w:szCs w:val="18"/>
                <w:shd w:val="clear" w:color="auto" w:fill="ffffff"/>
              </w:rPr>
              <w:drawing xmlns:a="http://schemas.openxmlformats.org/drawingml/2006/main">
                <wp:inline distT="0" distB="0" distL="0" distR="0">
                  <wp:extent cx="2609850" cy="3517900"/>
                  <wp:effectExtent l="0" t="0" r="0" b="0"/>
                  <wp:docPr id="1073741848" name="officeArt object" descr="Picture 1, Picture"/>
                  <wp:cNvGraphicFramePr/>
                  <a:graphic xmlns:a="http://schemas.openxmlformats.org/drawingml/2006/main">
                    <a:graphicData uri="http://schemas.openxmlformats.org/drawingml/2006/picture">
                      <pic:pic xmlns:pic="http://schemas.openxmlformats.org/drawingml/2006/picture">
                        <pic:nvPicPr>
                          <pic:cNvPr id="1073741848" name="Picture 1, Picture" descr="Picture 1, Picture"/>
                          <pic:cNvPicPr>
                            <a:picLocks noChangeAspect="1"/>
                          </pic:cNvPicPr>
                        </pic:nvPicPr>
                        <pic:blipFill>
                          <a:blip r:embed="rId15">
                            <a:extLst/>
                          </a:blip>
                          <a:stretch>
                            <a:fillRect/>
                          </a:stretch>
                        </pic:blipFill>
                        <pic:spPr>
                          <a:xfrm>
                            <a:off x="0" y="0"/>
                            <a:ext cx="2609850" cy="3517900"/>
                          </a:xfrm>
                          <a:prstGeom prst="rect">
                            <a:avLst/>
                          </a:prstGeom>
                          <a:ln w="12700" cap="flat">
                            <a:noFill/>
                            <a:miter lim="400000"/>
                          </a:ln>
                          <a:effectLst/>
                        </pic:spPr>
                      </pic:pic>
                    </a:graphicData>
                  </a:graphic>
                </wp:inline>
              </w:drawing>
            </w:r>
          </w:p>
        </w:tc>
        <w:tc>
          <w:tcPr>
            <w:tcW w:type="dxa" w:w="69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tabs>
                <w:tab w:val="left" w:pos="8030"/>
              </w:tabs>
              <w:spacing w:after="0" w:line="240" w:lineRule="auto"/>
            </w:pPr>
            <w:r>
              <w:rPr>
                <w:rStyle w:val="None"/>
                <w:rFonts w:ascii="Segoe UI" w:cs="Segoe UI" w:hAnsi="Segoe UI" w:eastAsia="Segoe UI"/>
                <w:sz w:val="18"/>
                <w:szCs w:val="18"/>
                <w:shd w:val="clear" w:color="auto" w:fill="ffffff"/>
              </w:rPr>
              <w:drawing xmlns:a="http://schemas.openxmlformats.org/drawingml/2006/main">
                <wp:inline distT="0" distB="0" distL="0" distR="0">
                  <wp:extent cx="3606800" cy="4076700"/>
                  <wp:effectExtent l="0" t="0" r="0" b="0"/>
                  <wp:docPr id="1073741849" name="officeArt object" descr="Picture 1, Picture"/>
                  <wp:cNvGraphicFramePr/>
                  <a:graphic xmlns:a="http://schemas.openxmlformats.org/drawingml/2006/main">
                    <a:graphicData uri="http://schemas.openxmlformats.org/drawingml/2006/picture">
                      <pic:pic xmlns:pic="http://schemas.openxmlformats.org/drawingml/2006/picture">
                        <pic:nvPicPr>
                          <pic:cNvPr id="1073741849" name="Picture 1, Picture" descr="Picture 1, Picture"/>
                          <pic:cNvPicPr>
                            <a:picLocks noChangeAspect="1"/>
                          </pic:cNvPicPr>
                        </pic:nvPicPr>
                        <pic:blipFill>
                          <a:blip r:embed="rId16">
                            <a:extLst/>
                          </a:blip>
                          <a:stretch>
                            <a:fillRect/>
                          </a:stretch>
                        </pic:blipFill>
                        <pic:spPr>
                          <a:xfrm>
                            <a:off x="0" y="0"/>
                            <a:ext cx="3606800" cy="4076700"/>
                          </a:xfrm>
                          <a:prstGeom prst="rect">
                            <a:avLst/>
                          </a:prstGeom>
                          <a:ln w="12700" cap="flat">
                            <a:noFill/>
                            <a:miter lim="400000"/>
                          </a:ln>
                          <a:effectLst/>
                        </pic:spPr>
                      </pic:pic>
                    </a:graphicData>
                  </a:graphic>
                </wp:inline>
              </w:drawing>
            </w:r>
          </w:p>
        </w:tc>
      </w:tr>
    </w:tbl>
    <w:p>
      <w:pPr>
        <w:pStyle w:val="Default"/>
        <w:widowControl w:val="0"/>
        <w:numPr>
          <w:ilvl w:val="0"/>
          <w:numId w:val="75"/>
        </w:numPr>
      </w:pPr>
    </w:p>
    <w:p>
      <w:pPr>
        <w:pStyle w:val="Body"/>
        <w:tabs>
          <w:tab w:val="left" w:pos="8030"/>
        </w:tabs>
        <w:rPr>
          <w:rStyle w:val="None"/>
          <w:rFonts w:ascii="Arial" w:cs="Arial" w:hAnsi="Arial" w:eastAsia="Arial"/>
        </w:rPr>
      </w:pPr>
    </w:p>
    <w:p>
      <w:pPr>
        <w:pStyle w:val="Body"/>
        <w:tabs>
          <w:tab w:val="left" w:pos="8030"/>
        </w:tabs>
        <w:rPr>
          <w:rStyle w:val="None"/>
          <w:rFonts w:ascii="Arial" w:cs="Arial" w:hAnsi="Arial" w:eastAsia="Arial"/>
        </w:rPr>
      </w:pPr>
    </w:p>
    <w:p>
      <w:pPr>
        <w:pStyle w:val="Body"/>
        <w:tabs>
          <w:tab w:val="left" w:pos="8030"/>
        </w:tabs>
        <w:rPr>
          <w:rStyle w:val="None"/>
          <w:rFonts w:ascii="Arial" w:cs="Arial" w:hAnsi="Arial" w:eastAsia="Arial"/>
        </w:rPr>
      </w:pPr>
    </w:p>
    <w:p>
      <w:pPr>
        <w:pStyle w:val="Body"/>
        <w:tabs>
          <w:tab w:val="left" w:pos="8030"/>
        </w:tabs>
        <w:rPr>
          <w:rStyle w:val="None"/>
          <w:rFonts w:ascii="Arial" w:cs="Arial" w:hAnsi="Arial" w:eastAsia="Arial"/>
        </w:rPr>
      </w:pPr>
    </w:p>
    <w:p>
      <w:pPr>
        <w:pStyle w:val="Body"/>
        <w:tabs>
          <w:tab w:val="left" w:pos="8030"/>
        </w:tabs>
        <w:rPr>
          <w:rStyle w:val="None"/>
          <w:rFonts w:ascii="Arial" w:cs="Arial" w:hAnsi="Arial" w:eastAsia="Arial"/>
        </w:rPr>
      </w:pPr>
    </w:p>
    <w:p>
      <w:pPr>
        <w:pStyle w:val="Body"/>
        <w:rPr>
          <w:rStyle w:val="None"/>
          <w:rFonts w:ascii="Arial" w:cs="Arial" w:hAnsi="Arial" w:eastAsia="Arial"/>
          <w:b w:val="1"/>
          <w:bCs w:val="1"/>
        </w:rPr>
      </w:pPr>
      <w:r>
        <w:rPr>
          <w:rStyle w:val="None"/>
          <w:rFonts w:ascii="Arial" w:hAnsi="Arial"/>
          <w:b w:val="1"/>
          <w:bCs w:val="1"/>
          <w:rtl w:val="0"/>
          <w:lang w:val="en-US"/>
        </w:rPr>
        <w:t xml:space="preserve">Case Study 7: Housing Investment Plan </w:t>
      </w:r>
      <w:r>
        <w:rPr>
          <w:rStyle w:val="None"/>
          <w:rFonts w:ascii="Arial" w:hAnsi="Arial" w:hint="default"/>
          <w:b w:val="1"/>
          <w:bCs w:val="1"/>
          <w:rtl w:val="0"/>
          <w:lang w:val="en-US"/>
        </w:rPr>
        <w:t xml:space="preserve">– </w:t>
      </w:r>
      <w:r>
        <w:rPr>
          <w:rStyle w:val="None"/>
          <w:rFonts w:ascii="Arial" w:hAnsi="Arial"/>
          <w:b w:val="1"/>
          <w:bCs w:val="1"/>
          <w:rtl w:val="0"/>
          <w:lang w:val="en-US"/>
        </w:rPr>
        <w:t>Creating Homes for Life</w:t>
      </w:r>
    </w:p>
    <w:p>
      <w:pPr>
        <w:pStyle w:val="Body"/>
        <w:rPr>
          <w:rStyle w:val="None"/>
          <w:rFonts w:ascii="Arial" w:cs="Arial" w:hAnsi="Arial" w:eastAsia="Arial"/>
          <w:b w:val="1"/>
          <w:bCs w:val="1"/>
        </w:rPr>
      </w:pPr>
      <w:r>
        <w:rPr>
          <w:rStyle w:val="None"/>
          <w:rFonts w:ascii="Arial" w:hAnsi="Arial"/>
          <w:b w:val="1"/>
          <w:bCs w:val="1"/>
          <w:rtl w:val="0"/>
          <w:lang w:val="en-US"/>
        </w:rPr>
        <w:t>LOIP Outcome Contribution</w:t>
      </w:r>
    </w:p>
    <w:p>
      <w:pPr>
        <w:pStyle w:val="Body"/>
        <w:rPr>
          <w:rStyle w:val="None"/>
          <w:rFonts w:ascii="Arial" w:cs="Arial" w:hAnsi="Arial" w:eastAsia="Arial"/>
        </w:rPr>
      </w:pPr>
      <w:r>
        <w:rPr>
          <w:rStyle w:val="None"/>
          <w:rFonts w:ascii="Arial" w:hAnsi="Arial"/>
          <w:b w:val="1"/>
          <w:bCs w:val="1"/>
          <w:rtl w:val="0"/>
          <w:lang w:val="en-US"/>
        </w:rPr>
        <w:t>LOIP Outcome 12</w:t>
      </w:r>
      <w:r>
        <w:rPr>
          <w:rStyle w:val="None"/>
          <w:rFonts w:ascii="Arial" w:hAnsi="Arial"/>
          <w:rtl w:val="0"/>
        </w:rPr>
        <w:t>:</w:t>
      </w:r>
      <w:r>
        <w:rPr>
          <w:rStyle w:val="None"/>
          <w:rFonts w:ascii="Arial" w:hAnsi="Arial" w:hint="default"/>
          <w:rtl w:val="0"/>
          <w:lang w:val="en-US"/>
        </w:rPr>
        <w:t> </w:t>
      </w:r>
      <w:r>
        <w:rPr>
          <w:rStyle w:val="None"/>
          <w:rFonts w:ascii="Arial" w:hAnsi="Arial"/>
          <w:rtl w:val="0"/>
          <w:lang w:val="en-US"/>
        </w:rPr>
        <w:t>Develop high quality, affordable homes to help meet identified demand and improve the quality of lives of our communities</w:t>
      </w:r>
    </w:p>
    <w:p>
      <w:pPr>
        <w:pStyle w:val="Body"/>
        <w:rPr>
          <w:rStyle w:val="None"/>
          <w:rFonts w:ascii="Arial" w:cs="Arial" w:hAnsi="Arial" w:eastAsia="Arial"/>
          <w:b w:val="1"/>
          <w:bCs w:val="1"/>
        </w:rPr>
      </w:pPr>
      <w:r>
        <w:rPr>
          <w:rStyle w:val="None"/>
          <w:rFonts w:ascii="Arial" w:hAnsi="Arial"/>
          <w:b w:val="1"/>
          <w:bCs w:val="1"/>
          <w:rtl w:val="0"/>
          <w:lang w:val="en-US"/>
        </w:rPr>
        <w:t>Why This Project Is Important</w:t>
      </w:r>
    </w:p>
    <w:p>
      <w:pPr>
        <w:pStyle w:val="Body"/>
        <w:rPr>
          <w:rStyle w:val="None"/>
          <w:rFonts w:ascii="Arial" w:cs="Arial" w:hAnsi="Arial" w:eastAsia="Arial"/>
        </w:rPr>
      </w:pPr>
      <w:r>
        <w:rPr>
          <w:rStyle w:val="None"/>
          <w:rFonts w:ascii="Arial" w:hAnsi="Arial"/>
          <w:rtl w:val="0"/>
          <w:lang w:val="en-US"/>
        </w:rPr>
        <w:t>Through the</w:t>
      </w:r>
      <w:r>
        <w:rPr>
          <w:rStyle w:val="None"/>
          <w:rFonts w:ascii="Arial" w:hAnsi="Arial" w:hint="default"/>
          <w:rtl w:val="0"/>
          <w:lang w:val="en-US"/>
        </w:rPr>
        <w:t> </w:t>
      </w:r>
      <w:r>
        <w:rPr>
          <w:rStyle w:val="None"/>
          <w:rFonts w:ascii="Arial" w:hAnsi="Arial"/>
          <w:rtl w:val="0"/>
          <w:lang w:val="en-US"/>
        </w:rPr>
        <w:t>Strategic Housing Investment Plan, Dumfries and Galloway Council partnered with</w:t>
      </w:r>
      <w:r>
        <w:rPr>
          <w:rStyle w:val="None"/>
          <w:rFonts w:ascii="Arial" w:hAnsi="Arial" w:hint="default"/>
          <w:rtl w:val="0"/>
          <w:lang w:val="en-US"/>
        </w:rPr>
        <w:t> </w:t>
      </w:r>
      <w:r>
        <w:rPr>
          <w:rStyle w:val="None"/>
          <w:rFonts w:ascii="Arial" w:hAnsi="Arial"/>
          <w:rtl w:val="0"/>
          <w:lang w:val="en-US"/>
        </w:rPr>
        <w:t>Registered Social Landlords (RSLs)</w:t>
      </w:r>
      <w:r>
        <w:rPr>
          <w:rStyle w:val="None"/>
          <w:rFonts w:ascii="Arial" w:hAnsi="Arial" w:hint="default"/>
          <w:rtl w:val="0"/>
          <w:lang w:val="en-US"/>
        </w:rPr>
        <w:t> </w:t>
      </w:r>
      <w:r>
        <w:rPr>
          <w:rStyle w:val="None"/>
          <w:rFonts w:ascii="Arial" w:hAnsi="Arial"/>
          <w:rtl w:val="0"/>
          <w:lang w:val="en-US"/>
        </w:rPr>
        <w:t>and the</w:t>
      </w:r>
      <w:r>
        <w:rPr>
          <w:rStyle w:val="None"/>
          <w:rFonts w:ascii="Arial" w:hAnsi="Arial" w:hint="default"/>
          <w:rtl w:val="0"/>
          <w:lang w:val="en-US"/>
        </w:rPr>
        <w:t> </w:t>
      </w:r>
      <w:r>
        <w:rPr>
          <w:rStyle w:val="None"/>
          <w:rFonts w:ascii="Arial" w:hAnsi="Arial"/>
          <w:rtl w:val="0"/>
          <w:lang w:val="en-US"/>
        </w:rPr>
        <w:t>Health and Social Care Partnership (HSCP)</w:t>
      </w:r>
      <w:r>
        <w:rPr>
          <w:rStyle w:val="None"/>
          <w:rFonts w:ascii="Arial" w:hAnsi="Arial" w:hint="default"/>
          <w:rtl w:val="0"/>
          <w:lang w:val="en-US"/>
        </w:rPr>
        <w:t> </w:t>
      </w:r>
      <w:r>
        <w:rPr>
          <w:rStyle w:val="None"/>
          <w:rFonts w:ascii="Arial" w:hAnsi="Arial"/>
          <w:rtl w:val="0"/>
          <w:lang w:val="en-US"/>
        </w:rPr>
        <w:t>to address a critical gap: the lack of appropriate supported accommodation for people with complex needs.</w:t>
      </w:r>
    </w:p>
    <w:p>
      <w:pPr>
        <w:pStyle w:val="Body"/>
        <w:rPr>
          <w:rStyle w:val="None"/>
          <w:rFonts w:ascii="Arial" w:cs="Arial" w:hAnsi="Arial" w:eastAsia="Arial"/>
        </w:rPr>
      </w:pPr>
      <w:r>
        <w:rPr>
          <w:rStyle w:val="None"/>
          <w:rFonts w:ascii="Arial" w:hAnsi="Arial"/>
          <w:rtl w:val="0"/>
          <w:lang w:val="en-US"/>
        </w:rPr>
        <w:t>This initiative aligns with the</w:t>
      </w:r>
      <w:r>
        <w:rPr>
          <w:rStyle w:val="None"/>
          <w:rFonts w:ascii="Arial" w:hAnsi="Arial" w:hint="default"/>
          <w:rtl w:val="0"/>
          <w:lang w:val="en-US"/>
        </w:rPr>
        <w:t> </w:t>
      </w:r>
      <w:r>
        <w:rPr>
          <w:rStyle w:val="None"/>
          <w:rFonts w:ascii="Arial" w:hAnsi="Arial"/>
          <w:rtl w:val="0"/>
          <w:lang w:val="en-US"/>
        </w:rPr>
        <w:t>Integration Joint Board (IJB) Strategic Plan</w:t>
      </w:r>
      <w:r>
        <w:rPr>
          <w:rStyle w:val="None"/>
          <w:rFonts w:ascii="Arial" w:hAnsi="Arial" w:hint="default"/>
          <w:rtl w:val="0"/>
          <w:lang w:val="en-US"/>
        </w:rPr>
        <w:t> </w:t>
      </w:r>
      <w:r>
        <w:rPr>
          <w:rStyle w:val="None"/>
          <w:rFonts w:ascii="Arial" w:hAnsi="Arial"/>
          <w:rtl w:val="0"/>
        </w:rPr>
        <w:t>by:</w:t>
      </w:r>
    </w:p>
    <w:p>
      <w:pPr>
        <w:pStyle w:val="Body"/>
        <w:numPr>
          <w:ilvl w:val="0"/>
          <w:numId w:val="77"/>
        </w:numPr>
        <w:bidi w:val="0"/>
        <w:ind w:right="0"/>
        <w:jc w:val="left"/>
        <w:rPr>
          <w:rFonts w:ascii="Arial" w:hAnsi="Arial"/>
          <w:rtl w:val="0"/>
          <w:lang w:val="en-US"/>
        </w:rPr>
      </w:pPr>
      <w:r>
        <w:rPr>
          <w:rStyle w:val="wacimagecontainer"/>
          <w:rFonts w:ascii="Arial" w:hAnsi="Arial"/>
          <w:rtl w:val="0"/>
          <w:lang w:val="en-US"/>
        </w:rPr>
        <w:t>Shifting care from institutional to community-based settings</w:t>
      </w:r>
    </w:p>
    <w:p>
      <w:pPr>
        <w:pStyle w:val="Body"/>
        <w:numPr>
          <w:ilvl w:val="0"/>
          <w:numId w:val="77"/>
        </w:numPr>
        <w:bidi w:val="0"/>
        <w:ind w:right="0"/>
        <w:jc w:val="left"/>
        <w:rPr>
          <w:rFonts w:ascii="Arial" w:hAnsi="Arial"/>
          <w:rtl w:val="0"/>
          <w:lang w:val="en-US"/>
        </w:rPr>
      </w:pPr>
      <w:r>
        <w:rPr>
          <w:rStyle w:val="wacimagecontainer"/>
          <w:rFonts w:ascii="Arial" w:hAnsi="Arial"/>
          <w:rtl w:val="0"/>
          <w:lang w:val="en-US"/>
        </w:rPr>
        <w:t>Protecting vulnerable adults</w:t>
      </w:r>
    </w:p>
    <w:p>
      <w:pPr>
        <w:pStyle w:val="Body"/>
        <w:numPr>
          <w:ilvl w:val="0"/>
          <w:numId w:val="77"/>
        </w:numPr>
        <w:bidi w:val="0"/>
        <w:ind w:right="0"/>
        <w:jc w:val="left"/>
        <w:rPr>
          <w:rFonts w:ascii="Arial" w:hAnsi="Arial"/>
          <w:rtl w:val="0"/>
          <w:lang w:val="en-US"/>
        </w:rPr>
      </w:pPr>
      <w:r>
        <w:rPr>
          <w:rStyle w:val="wacimagecontainer"/>
          <w:rFonts w:ascii="Arial" w:hAnsi="Arial"/>
          <w:rtl w:val="0"/>
          <w:lang w:val="en-US"/>
        </w:rPr>
        <w:t>Making better use of technology</w:t>
      </w:r>
    </w:p>
    <w:p>
      <w:pPr>
        <w:pStyle w:val="Body"/>
        <w:numPr>
          <w:ilvl w:val="0"/>
          <w:numId w:val="77"/>
        </w:numPr>
        <w:bidi w:val="0"/>
        <w:ind w:right="0"/>
        <w:jc w:val="left"/>
        <w:rPr>
          <w:rFonts w:ascii="Arial" w:hAnsi="Arial"/>
          <w:rtl w:val="0"/>
          <w:lang w:val="en-US"/>
        </w:rPr>
      </w:pPr>
      <w:r>
        <w:rPr>
          <w:rStyle w:val="wacimagecontainer"/>
          <w:rFonts w:ascii="Arial" w:hAnsi="Arial"/>
          <w:rtl w:val="0"/>
          <w:lang w:val="en-US"/>
        </w:rPr>
        <w:t>Ensuring people with complex learning disabilities and/or mental health needs can live in</w:t>
      </w:r>
      <w:r>
        <w:rPr>
          <w:rStyle w:val="None"/>
          <w:rFonts w:ascii="Arial" w:hAnsi="Arial" w:hint="default"/>
          <w:rtl w:val="0"/>
          <w:lang w:val="en-US"/>
        </w:rPr>
        <w:t> </w:t>
      </w:r>
      <w:r>
        <w:rPr>
          <w:rStyle w:val="wacimagecontainer"/>
          <w:rFonts w:ascii="Arial" w:hAnsi="Arial"/>
          <w:rtl w:val="0"/>
          <w:lang w:val="en-US"/>
        </w:rPr>
        <w:t>homes for life</w:t>
      </w:r>
      <w:r>
        <w:rPr>
          <w:rStyle w:val="None"/>
          <w:rFonts w:ascii="Arial" w:hAnsi="Arial" w:hint="default"/>
          <w:rtl w:val="0"/>
          <w:lang w:val="en-US"/>
        </w:rPr>
        <w:t>—</w:t>
      </w:r>
      <w:r>
        <w:rPr>
          <w:rStyle w:val="wacimagecontainer"/>
          <w:rFonts w:ascii="Arial" w:hAnsi="Arial"/>
          <w:rtl w:val="0"/>
          <w:lang w:val="en-US"/>
        </w:rPr>
        <w:t>adaptable to their changing needs</w:t>
      </w:r>
    </w:p>
    <w:p>
      <w:pPr>
        <w:pStyle w:val="Body"/>
        <w:rPr>
          <w:rStyle w:val="None"/>
          <w:rFonts w:ascii="Arial" w:cs="Arial" w:hAnsi="Arial" w:eastAsia="Arial"/>
          <w:b w:val="1"/>
          <w:bCs w:val="1"/>
        </w:rPr>
      </w:pPr>
      <w:r>
        <w:rPr>
          <w:rStyle w:val="None"/>
          <w:rFonts w:ascii="Arial" w:hAnsi="Arial"/>
          <w:b w:val="1"/>
          <w:bCs w:val="1"/>
          <w:rtl w:val="0"/>
          <w:lang w:val="en-US"/>
        </w:rPr>
        <w:t>What We Did</w:t>
      </w:r>
    </w:p>
    <w:p>
      <w:pPr>
        <w:pStyle w:val="Body"/>
        <w:numPr>
          <w:ilvl w:val="0"/>
          <w:numId w:val="79"/>
        </w:numPr>
        <w:bidi w:val="0"/>
        <w:ind w:right="0"/>
        <w:jc w:val="left"/>
        <w:rPr>
          <w:rFonts w:ascii="Arial" w:hAnsi="Arial"/>
          <w:rtl w:val="0"/>
          <w:lang w:val="en-US"/>
        </w:rPr>
      </w:pPr>
      <w:r>
        <w:rPr>
          <w:rStyle w:val="wacimagecontainer"/>
          <w:rFonts w:ascii="Arial" w:hAnsi="Arial"/>
          <w:rtl w:val="0"/>
          <w:lang w:val="en-US"/>
        </w:rPr>
        <w:t>Three properties</w:t>
      </w:r>
      <w:r>
        <w:rPr>
          <w:rStyle w:val="None"/>
          <w:rFonts w:ascii="Arial" w:hAnsi="Arial" w:hint="default"/>
          <w:rtl w:val="0"/>
          <w:lang w:val="en-US"/>
        </w:rPr>
        <w:t> </w:t>
      </w:r>
      <w:r>
        <w:rPr>
          <w:rStyle w:val="wacimagecontainer"/>
          <w:rFonts w:ascii="Arial" w:hAnsi="Arial"/>
          <w:rtl w:val="0"/>
          <w:lang w:val="en-US"/>
        </w:rPr>
        <w:t>were reviewed for suitability. One, privately owned and managed by Progress Care, was identified as a priority for re-provision.</w:t>
      </w:r>
    </w:p>
    <w:p>
      <w:pPr>
        <w:pStyle w:val="Body"/>
        <w:numPr>
          <w:ilvl w:val="0"/>
          <w:numId w:val="79"/>
        </w:numPr>
        <w:bidi w:val="0"/>
        <w:ind w:right="0"/>
        <w:jc w:val="left"/>
        <w:rPr>
          <w:rFonts w:ascii="Arial" w:hAnsi="Arial"/>
          <w:rtl w:val="0"/>
          <w:lang w:val="en-US"/>
        </w:rPr>
      </w:pPr>
      <w:r>
        <w:rPr>
          <w:rStyle w:val="wacimagecontainer"/>
          <w:rFonts w:ascii="Arial" w:hAnsi="Arial"/>
          <w:rtl w:val="0"/>
          <w:lang w:val="en-US"/>
        </w:rPr>
        <w:t>Turning Point Scotland, the care provider, collaborated with the partnership to co-design a new, purpose-built development for the four residents.</w:t>
      </w:r>
    </w:p>
    <w:p>
      <w:pPr>
        <w:pStyle w:val="Body"/>
        <w:numPr>
          <w:ilvl w:val="0"/>
          <w:numId w:val="79"/>
        </w:numPr>
        <w:bidi w:val="0"/>
        <w:ind w:right="0"/>
        <w:jc w:val="left"/>
        <w:rPr>
          <w:rFonts w:ascii="Arial" w:hAnsi="Arial"/>
          <w:rtl w:val="0"/>
          <w:lang w:val="en-US"/>
        </w:rPr>
      </w:pPr>
      <w:r>
        <w:rPr>
          <w:rStyle w:val="wacimagecontainer"/>
          <w:rFonts w:ascii="Arial" w:hAnsi="Arial"/>
          <w:rtl w:val="0"/>
          <w:lang w:val="en-US"/>
        </w:rPr>
        <w:t>A second property, owned by Turning Point Scotland in a rural area, was also deemed unsuitable due to its age and location.</w:t>
      </w:r>
    </w:p>
    <w:p>
      <w:pPr>
        <w:pStyle w:val="Body"/>
        <w:numPr>
          <w:ilvl w:val="0"/>
          <w:numId w:val="79"/>
        </w:numPr>
        <w:bidi w:val="0"/>
        <w:ind w:right="0"/>
        <w:jc w:val="left"/>
        <w:rPr>
          <w:rFonts w:ascii="Arial" w:hAnsi="Arial"/>
          <w:rtl w:val="0"/>
          <w:lang w:val="en-US"/>
        </w:rPr>
      </w:pPr>
      <w:r>
        <w:rPr>
          <w:rStyle w:val="wacimagecontainer"/>
          <w:rFonts w:ascii="Arial" w:hAnsi="Arial"/>
          <w:rtl w:val="0"/>
          <w:lang w:val="en-US"/>
        </w:rPr>
        <w:t>In partnership with</w:t>
      </w:r>
      <w:r>
        <w:rPr>
          <w:rStyle w:val="None"/>
          <w:rFonts w:ascii="Arial" w:hAnsi="Arial" w:hint="default"/>
          <w:rtl w:val="0"/>
          <w:lang w:val="en-US"/>
        </w:rPr>
        <w:t> </w:t>
      </w:r>
      <w:r>
        <w:rPr>
          <w:rStyle w:val="wacimagecontainer"/>
          <w:rFonts w:ascii="Arial" w:hAnsi="Arial"/>
          <w:rtl w:val="0"/>
          <w:lang w:val="en-US"/>
        </w:rPr>
        <w:t>Loreburn Housing Association, the</w:t>
      </w:r>
      <w:r>
        <w:rPr>
          <w:rStyle w:val="None"/>
          <w:rFonts w:ascii="Arial" w:hAnsi="Arial" w:hint="default"/>
          <w:rtl w:val="0"/>
          <w:lang w:val="en-US"/>
        </w:rPr>
        <w:t> </w:t>
      </w:r>
      <w:r>
        <w:rPr>
          <w:rStyle w:val="wacimagecontainer"/>
          <w:rFonts w:ascii="Arial" w:hAnsi="Arial"/>
          <w:rtl w:val="0"/>
          <w:lang w:val="en-US"/>
        </w:rPr>
        <w:t>Council,</w:t>
      </w:r>
      <w:r>
        <w:rPr>
          <w:rStyle w:val="None"/>
          <w:rFonts w:ascii="Arial" w:hAnsi="Arial" w:hint="default"/>
          <w:rtl w:val="0"/>
          <w:lang w:val="en-US"/>
        </w:rPr>
        <w:t> </w:t>
      </w:r>
      <w:r>
        <w:rPr>
          <w:rStyle w:val="wacimagecontainer"/>
          <w:rFonts w:ascii="Arial" w:hAnsi="Arial"/>
          <w:rtl w:val="0"/>
          <w:lang w:val="en-US"/>
        </w:rPr>
        <w:t>Scottish Government, and</w:t>
      </w:r>
      <w:r>
        <w:rPr>
          <w:rStyle w:val="None"/>
          <w:rFonts w:ascii="Arial" w:hAnsi="Arial" w:hint="default"/>
          <w:rtl w:val="0"/>
          <w:lang w:val="en-US"/>
        </w:rPr>
        <w:t> </w:t>
      </w:r>
      <w:r>
        <w:rPr>
          <w:rStyle w:val="wacimagecontainer"/>
          <w:rFonts w:ascii="Arial" w:hAnsi="Arial"/>
          <w:rtl w:val="0"/>
          <w:lang w:val="en-US"/>
        </w:rPr>
        <w:t>HSCP, a new development was created in</w:t>
      </w:r>
      <w:r>
        <w:rPr>
          <w:rStyle w:val="None"/>
          <w:rFonts w:ascii="Arial" w:hAnsi="Arial" w:hint="default"/>
          <w:rtl w:val="0"/>
          <w:lang w:val="en-US"/>
        </w:rPr>
        <w:t> </w:t>
      </w:r>
      <w:r>
        <w:rPr>
          <w:rStyle w:val="wacimagecontainer"/>
          <w:rFonts w:ascii="Arial" w:hAnsi="Arial"/>
          <w:rtl w:val="0"/>
          <w:lang w:val="en-US"/>
        </w:rPr>
        <w:t>North West Dumfries</w:t>
      </w:r>
      <w:r>
        <w:rPr>
          <w:rStyle w:val="None"/>
          <w:rFonts w:ascii="Arial" w:hAnsi="Arial" w:hint="default"/>
          <w:rtl w:val="0"/>
          <w:lang w:val="en-US"/>
        </w:rPr>
        <w:t> </w:t>
      </w:r>
      <w:r>
        <w:rPr>
          <w:rStyle w:val="wacimagecontainer"/>
          <w:rFonts w:ascii="Arial" w:hAnsi="Arial"/>
          <w:rtl w:val="0"/>
          <w:lang w:val="en-US"/>
        </w:rPr>
        <w:t>on the site of a former derelict church.</w:t>
      </w:r>
    </w:p>
    <w:p>
      <w:pPr>
        <w:pStyle w:val="Body"/>
        <w:numPr>
          <w:ilvl w:val="0"/>
          <w:numId w:val="79"/>
        </w:numPr>
        <w:bidi w:val="0"/>
        <w:ind w:right="0"/>
        <w:jc w:val="left"/>
        <w:rPr>
          <w:rFonts w:ascii="Arial" w:hAnsi="Arial"/>
          <w:rtl w:val="0"/>
          <w:lang w:val="en-US"/>
        </w:rPr>
      </w:pPr>
      <w:r>
        <w:rPr>
          <w:rStyle w:val="wacimagecontainer"/>
          <w:rFonts w:ascii="Arial" w:hAnsi="Arial"/>
          <w:rtl w:val="0"/>
          <w:lang w:val="en-US"/>
        </w:rPr>
        <w:t>The result:</w:t>
      </w:r>
      <w:r>
        <w:rPr>
          <w:rStyle w:val="None"/>
          <w:rFonts w:ascii="Arial" w:hAnsi="Arial" w:hint="default"/>
          <w:rtl w:val="0"/>
          <w:lang w:val="en-US"/>
        </w:rPr>
        <w:t> </w:t>
      </w:r>
      <w:r>
        <w:rPr>
          <w:rStyle w:val="wacimagecontainer"/>
          <w:rFonts w:ascii="Arial" w:hAnsi="Arial"/>
          <w:rtl w:val="0"/>
          <w:lang w:val="en-US"/>
        </w:rPr>
        <w:t>11 accessible bungalows</w:t>
      </w:r>
      <w:r>
        <w:rPr>
          <w:rStyle w:val="None"/>
          <w:rFonts w:ascii="Arial" w:hAnsi="Arial" w:hint="default"/>
          <w:rtl w:val="0"/>
          <w:lang w:val="en-US"/>
        </w:rPr>
        <w:t> </w:t>
      </w:r>
      <w:r>
        <w:rPr>
          <w:rStyle w:val="wacimagecontainer"/>
          <w:rFonts w:ascii="Arial" w:hAnsi="Arial"/>
          <w:rtl w:val="0"/>
          <w:lang w:val="en-US"/>
        </w:rPr>
        <w:t>in Lincluden, designed with input from health professionals and families, featuring level access, lower light switches, and other adaptations.</w:t>
      </w:r>
    </w:p>
    <w:p>
      <w:pPr>
        <w:pStyle w:val="Body"/>
        <w:rPr>
          <w:rStyle w:val="None"/>
          <w:rFonts w:ascii="Arial" w:cs="Arial" w:hAnsi="Arial" w:eastAsia="Arial"/>
          <w:b w:val="1"/>
          <w:bCs w:val="1"/>
        </w:rPr>
      </w:pPr>
      <w:r>
        <w:rPr>
          <w:rStyle w:val="None"/>
          <w:rFonts w:ascii="Arial" w:hAnsi="Arial"/>
          <w:b w:val="1"/>
          <w:bCs w:val="1"/>
          <w:rtl w:val="0"/>
          <w:lang w:val="en-US"/>
        </w:rPr>
        <w:t>Impact on the Population</w:t>
      </w:r>
    </w:p>
    <w:p>
      <w:pPr>
        <w:pStyle w:val="Body"/>
        <w:numPr>
          <w:ilvl w:val="0"/>
          <w:numId w:val="81"/>
        </w:numPr>
        <w:bidi w:val="0"/>
        <w:ind w:right="0"/>
        <w:jc w:val="left"/>
        <w:rPr>
          <w:rFonts w:ascii="Arial" w:hAnsi="Arial"/>
          <w:rtl w:val="0"/>
          <w:lang w:val="en-US"/>
        </w:rPr>
      </w:pPr>
      <w:r>
        <w:rPr>
          <w:rStyle w:val="wacimagecontainer"/>
          <w:rFonts w:ascii="Arial" w:hAnsi="Arial"/>
          <w:rtl w:val="0"/>
          <w:lang w:val="en-US"/>
        </w:rPr>
        <w:t>Improved service efficiency: Consolidating three staff teams into one central location reduced travel time and overnight staffing needs.</w:t>
      </w:r>
    </w:p>
    <w:p>
      <w:pPr>
        <w:pStyle w:val="Body"/>
        <w:numPr>
          <w:ilvl w:val="0"/>
          <w:numId w:val="81"/>
        </w:numPr>
        <w:bidi w:val="0"/>
        <w:ind w:right="0"/>
        <w:jc w:val="left"/>
        <w:rPr>
          <w:rFonts w:ascii="Arial" w:hAnsi="Arial"/>
          <w:rtl w:val="0"/>
          <w:lang w:val="en-US"/>
        </w:rPr>
      </w:pPr>
      <w:r>
        <w:rPr>
          <w:rStyle w:val="wacimagecontainer"/>
          <w:rFonts w:ascii="Arial" w:hAnsi="Arial"/>
          <w:rtl w:val="0"/>
          <w:lang w:val="en-US"/>
        </w:rPr>
        <w:t>Cost savings: Moving to RSL-managed properties reduced rent and Housing Benefit costs.</w:t>
      </w:r>
    </w:p>
    <w:p>
      <w:pPr>
        <w:pStyle w:val="Body"/>
        <w:numPr>
          <w:ilvl w:val="0"/>
          <w:numId w:val="81"/>
        </w:numPr>
        <w:bidi w:val="0"/>
        <w:ind w:right="0"/>
        <w:jc w:val="left"/>
        <w:rPr>
          <w:rFonts w:ascii="Arial" w:hAnsi="Arial"/>
          <w:rtl w:val="0"/>
          <w:lang w:val="en-US"/>
        </w:rPr>
      </w:pPr>
      <w:r>
        <w:rPr>
          <w:rStyle w:val="wacimagecontainer"/>
          <w:rFonts w:ascii="Arial" w:hAnsi="Arial"/>
          <w:rtl w:val="0"/>
          <w:lang w:val="en-US"/>
        </w:rPr>
        <w:t>Strategic location: Proximity to services and support networks improved recruitment and retention of care staff.</w:t>
      </w:r>
    </w:p>
    <w:p>
      <w:pPr>
        <w:pStyle w:val="Body"/>
        <w:rPr>
          <w:rStyle w:val="None"/>
          <w:rFonts w:ascii="Arial" w:cs="Arial" w:hAnsi="Arial" w:eastAsia="Arial"/>
          <w:b w:val="1"/>
          <w:bCs w:val="1"/>
        </w:rPr>
      </w:pPr>
      <w:r>
        <w:rPr>
          <w:rStyle w:val="None"/>
          <w:rFonts w:ascii="Arial" w:hAnsi="Arial"/>
          <w:b w:val="1"/>
          <w:bCs w:val="1"/>
          <w:rtl w:val="0"/>
          <w:lang w:val="en-US"/>
        </w:rPr>
        <w:t>Impact on Individuals</w:t>
      </w:r>
    </w:p>
    <w:p>
      <w:pPr>
        <w:pStyle w:val="Body"/>
        <w:numPr>
          <w:ilvl w:val="0"/>
          <w:numId w:val="83"/>
        </w:numPr>
        <w:bidi w:val="0"/>
        <w:ind w:right="0"/>
        <w:jc w:val="left"/>
        <w:rPr>
          <w:rFonts w:ascii="Arial" w:hAnsi="Arial"/>
          <w:rtl w:val="0"/>
          <w:lang w:val="en-US"/>
        </w:rPr>
      </w:pPr>
      <w:r>
        <w:rPr>
          <w:rStyle w:val="wacimagecontainer"/>
          <w:rFonts w:ascii="Arial" w:hAnsi="Arial"/>
          <w:rtl w:val="0"/>
          <w:lang w:val="en-US"/>
        </w:rPr>
        <w:t>Residents now live in</w:t>
      </w:r>
      <w:r>
        <w:rPr>
          <w:rStyle w:val="None"/>
          <w:rFonts w:ascii="Arial" w:hAnsi="Arial" w:hint="default"/>
          <w:rtl w:val="0"/>
          <w:lang w:val="en-US"/>
        </w:rPr>
        <w:t> </w:t>
      </w:r>
      <w:r>
        <w:rPr>
          <w:rStyle w:val="wacimagecontainer"/>
          <w:rFonts w:ascii="Arial" w:hAnsi="Arial"/>
          <w:rtl w:val="0"/>
          <w:lang w:val="en-US"/>
        </w:rPr>
        <w:t>modern, purpose-built homes</w:t>
      </w:r>
      <w:r>
        <w:rPr>
          <w:rStyle w:val="None"/>
          <w:rFonts w:ascii="Arial" w:hAnsi="Arial" w:hint="default"/>
          <w:rtl w:val="0"/>
          <w:lang w:val="en-US"/>
        </w:rPr>
        <w:t> </w:t>
      </w:r>
      <w:r>
        <w:rPr>
          <w:rStyle w:val="wacimagecontainer"/>
          <w:rFonts w:ascii="Arial" w:hAnsi="Arial"/>
          <w:rtl w:val="0"/>
          <w:lang w:val="en-US"/>
        </w:rPr>
        <w:t>that support their independence and wellbeing.</w:t>
      </w:r>
    </w:p>
    <w:p>
      <w:pPr>
        <w:pStyle w:val="Body"/>
        <w:numPr>
          <w:ilvl w:val="0"/>
          <w:numId w:val="83"/>
        </w:numPr>
        <w:bidi w:val="0"/>
        <w:ind w:right="0"/>
        <w:jc w:val="left"/>
        <w:rPr>
          <w:rFonts w:ascii="Arial" w:hAnsi="Arial"/>
          <w:rtl w:val="0"/>
          <w:lang w:val="en-US"/>
        </w:rPr>
      </w:pPr>
      <w:r>
        <w:rPr>
          <w:rStyle w:val="wacimagecontainer"/>
          <w:rFonts w:ascii="Arial" w:hAnsi="Arial"/>
          <w:rtl w:val="0"/>
          <w:lang w:val="en-US"/>
        </w:rPr>
        <w:t>Homes are equipped with</w:t>
      </w:r>
      <w:r>
        <w:rPr>
          <w:rStyle w:val="None"/>
          <w:rFonts w:ascii="Arial" w:hAnsi="Arial" w:hint="default"/>
          <w:rtl w:val="0"/>
          <w:lang w:val="en-US"/>
        </w:rPr>
        <w:t> </w:t>
      </w:r>
      <w:r>
        <w:rPr>
          <w:rStyle w:val="wacimagecontainer"/>
          <w:rFonts w:ascii="Arial" w:hAnsi="Arial"/>
          <w:rtl w:val="0"/>
          <w:lang w:val="en-US"/>
        </w:rPr>
        <w:t>assistive technology</w:t>
      </w:r>
      <w:r>
        <w:rPr>
          <w:rStyle w:val="None"/>
          <w:rFonts w:ascii="Arial" w:hAnsi="Arial" w:hint="default"/>
          <w:rtl w:val="0"/>
          <w:lang w:val="en-US"/>
        </w:rPr>
        <w:t> </w:t>
      </w:r>
      <w:r>
        <w:rPr>
          <w:rStyle w:val="wacimagecontainer"/>
          <w:rFonts w:ascii="Arial" w:hAnsi="Arial"/>
          <w:rtl w:val="0"/>
          <w:lang w:val="en-US"/>
        </w:rPr>
        <w:t>and designed to adapt to changing health needs.</w:t>
      </w:r>
    </w:p>
    <w:p>
      <w:pPr>
        <w:pStyle w:val="Body"/>
        <w:numPr>
          <w:ilvl w:val="0"/>
          <w:numId w:val="83"/>
        </w:numPr>
        <w:bidi w:val="0"/>
        <w:ind w:right="0"/>
        <w:jc w:val="left"/>
        <w:rPr>
          <w:rFonts w:ascii="Arial" w:hAnsi="Arial"/>
          <w:rtl w:val="0"/>
          <w:lang w:val="en-US"/>
        </w:rPr>
      </w:pPr>
      <w:r>
        <w:rPr>
          <w:rStyle w:val="wacimagecontainer"/>
          <w:rFonts w:ascii="Arial" w:hAnsi="Arial"/>
          <w:rtl w:val="0"/>
          <w:lang w:val="en-US"/>
        </w:rPr>
        <w:t>Individuals and families were involved throughout the process, ensuring the homes are truly fit for life.</w:t>
      </w:r>
    </w:p>
    <w:p>
      <w:pPr>
        <w:pStyle w:val="Body"/>
        <w:numPr>
          <w:ilvl w:val="0"/>
          <w:numId w:val="83"/>
        </w:numPr>
        <w:bidi w:val="0"/>
        <w:ind w:right="0"/>
        <w:jc w:val="left"/>
        <w:rPr>
          <w:rFonts w:ascii="Arial" w:hAnsi="Arial"/>
          <w:rtl w:val="0"/>
          <w:lang w:val="en-US"/>
        </w:rPr>
      </w:pPr>
      <w:r>
        <w:rPr>
          <w:rStyle w:val="wacimagecontainer"/>
          <w:rFonts w:ascii="Arial" w:hAnsi="Arial"/>
          <w:rtl w:val="0"/>
          <w:lang w:val="en-US"/>
        </w:rPr>
        <w:t>The project has</w:t>
      </w:r>
      <w:r>
        <w:rPr>
          <w:rStyle w:val="None"/>
          <w:rFonts w:ascii="Arial" w:hAnsi="Arial" w:hint="default"/>
          <w:rtl w:val="0"/>
          <w:lang w:val="en-US"/>
        </w:rPr>
        <w:t> </w:t>
      </w:r>
      <w:r>
        <w:rPr>
          <w:rStyle w:val="wacimagecontainer"/>
          <w:rFonts w:ascii="Arial" w:hAnsi="Arial"/>
          <w:rtl w:val="0"/>
          <w:lang w:val="en-US"/>
        </w:rPr>
        <w:t>future-proofed</w:t>
      </w:r>
      <w:r>
        <w:rPr>
          <w:rStyle w:val="None"/>
          <w:rFonts w:ascii="Arial" w:hAnsi="Arial" w:hint="default"/>
          <w:rtl w:val="0"/>
          <w:lang w:val="en-US"/>
        </w:rPr>
        <w:t> </w:t>
      </w:r>
      <w:r>
        <w:rPr>
          <w:rStyle w:val="wacimagecontainer"/>
          <w:rFonts w:ascii="Arial" w:hAnsi="Arial"/>
          <w:rtl w:val="0"/>
          <w:lang w:val="en-US"/>
        </w:rPr>
        <w:t>supported accommodation for a vulnerable group, reducing the need for disruptive moves later in life.</w:t>
      </w:r>
    </w:p>
    <w:tbl>
      <w:tblPr>
        <w:tblW w:w="1394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1d7"/>
        <w:tblLayout w:type="fixed"/>
      </w:tblPr>
      <w:tblGrid>
        <w:gridCol w:w="6974"/>
        <w:gridCol w:w="6974"/>
      </w:tblGrid>
      <w:tr>
        <w:tblPrEx>
          <w:shd w:val="clear" w:color="auto" w:fill="cad1d7"/>
        </w:tblPrEx>
        <w:trPr>
          <w:trHeight w:val="4025" w:hRule="atLeast"/>
        </w:trPr>
        <w:tc>
          <w:tcPr>
            <w:tcW w:type="dxa" w:w="69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tabs>
                <w:tab w:val="left" w:pos="8030"/>
              </w:tabs>
            </w:pPr>
            <w:r>
              <w:rPr>
                <w:rStyle w:val="None"/>
                <w:rFonts w:ascii="Aptos" w:cs="Aptos" w:hAnsi="Aptos" w:eastAsia="Aptos"/>
                <w:shd w:val="nil" w:color="auto" w:fill="auto"/>
              </w:rPr>
              <w:drawing xmlns:a="http://schemas.openxmlformats.org/drawingml/2006/main">
                <wp:inline distT="0" distB="0" distL="0" distR="0">
                  <wp:extent cx="4013200" cy="2514600"/>
                  <wp:effectExtent l="0" t="0" r="0" b="0"/>
                  <wp:docPr id="1073741850" name="officeArt object" descr="Img Min"/>
                  <wp:cNvGraphicFramePr/>
                  <a:graphic xmlns:a="http://schemas.openxmlformats.org/drawingml/2006/main">
                    <a:graphicData uri="http://schemas.openxmlformats.org/drawingml/2006/picture">
                      <pic:pic xmlns:pic="http://schemas.openxmlformats.org/drawingml/2006/picture">
                        <pic:nvPicPr>
                          <pic:cNvPr id="1073741850" name="Img Min" descr="Img Min"/>
                          <pic:cNvPicPr>
                            <a:picLocks noChangeAspect="1"/>
                          </pic:cNvPicPr>
                        </pic:nvPicPr>
                        <pic:blipFill>
                          <a:blip r:embed="rId17">
                            <a:extLst/>
                          </a:blip>
                          <a:stretch>
                            <a:fillRect/>
                          </a:stretch>
                        </pic:blipFill>
                        <pic:spPr>
                          <a:xfrm>
                            <a:off x="0" y="0"/>
                            <a:ext cx="4013200" cy="2514600"/>
                          </a:xfrm>
                          <a:prstGeom prst="rect">
                            <a:avLst/>
                          </a:prstGeom>
                          <a:ln w="12700" cap="flat">
                            <a:noFill/>
                            <a:miter lim="400000"/>
                          </a:ln>
                          <a:effectLst/>
                        </pic:spPr>
                      </pic:pic>
                    </a:graphicData>
                  </a:graphic>
                </wp:inline>
              </w:drawing>
            </w:r>
          </w:p>
        </w:tc>
        <w:tc>
          <w:tcPr>
            <w:tcW w:type="dxa" w:w="69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tabs>
                <w:tab w:val="left" w:pos="8030"/>
              </w:tabs>
              <w:spacing w:after="0" w:line="240" w:lineRule="auto"/>
            </w:pPr>
            <w:r>
              <w:rPr>
                <w:rStyle w:val="None"/>
                <w:rFonts w:ascii="Aptos" w:cs="Aptos" w:hAnsi="Aptos" w:eastAsia="Aptos"/>
                <w:shd w:val="nil" w:color="auto" w:fill="auto"/>
              </w:rPr>
              <w:drawing xmlns:a="http://schemas.openxmlformats.org/drawingml/2006/main">
                <wp:inline distT="0" distB="0" distL="0" distR="0">
                  <wp:extent cx="4042410" cy="2482850"/>
                  <wp:effectExtent l="0" t="0" r="0" b="0"/>
                  <wp:docPr id="1073741851" name="officeArt object" descr="Img Min"/>
                  <wp:cNvGraphicFramePr/>
                  <a:graphic xmlns:a="http://schemas.openxmlformats.org/drawingml/2006/main">
                    <a:graphicData uri="http://schemas.openxmlformats.org/drawingml/2006/picture">
                      <pic:pic xmlns:pic="http://schemas.openxmlformats.org/drawingml/2006/picture">
                        <pic:nvPicPr>
                          <pic:cNvPr id="1073741851" name="Img Min" descr="Img Min"/>
                          <pic:cNvPicPr>
                            <a:picLocks noChangeAspect="1"/>
                          </pic:cNvPicPr>
                        </pic:nvPicPr>
                        <pic:blipFill>
                          <a:blip r:embed="rId18">
                            <a:extLst/>
                          </a:blip>
                          <a:stretch>
                            <a:fillRect/>
                          </a:stretch>
                        </pic:blipFill>
                        <pic:spPr>
                          <a:xfrm>
                            <a:off x="0" y="0"/>
                            <a:ext cx="4042410" cy="2482850"/>
                          </a:xfrm>
                          <a:prstGeom prst="rect">
                            <a:avLst/>
                          </a:prstGeom>
                          <a:ln w="12700" cap="flat">
                            <a:noFill/>
                            <a:miter lim="400000"/>
                          </a:ln>
                          <a:effectLst/>
                        </pic:spPr>
                      </pic:pic>
                    </a:graphicData>
                  </a:graphic>
                </wp:inline>
              </w:drawing>
            </w:r>
          </w:p>
        </w:tc>
      </w:tr>
    </w:tbl>
    <w:p>
      <w:pPr>
        <w:pStyle w:val="Body"/>
        <w:widowControl w:val="0"/>
        <w:numPr>
          <w:ilvl w:val="0"/>
          <w:numId w:val="83"/>
        </w:numPr>
        <w:spacing w:line="240" w:lineRule="auto"/>
      </w:pPr>
      <w:r>
        <w:rPr>
          <w:rStyle w:val="wacimagecontainer"/>
        </w:rPr>
      </w:r>
    </w:p>
    <w:sectPr>
      <w:headerReference w:type="default" r:id="rId19"/>
      <w:footerReference w:type="default" r:id="rId20"/>
      <w:pgSz w:w="16840" w:h="11900" w:orient="landscape"/>
      <w:pgMar w:top="1440" w:right="1440" w:bottom="1440" w:left="144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Aptos">
    <w:charset w:val="00"/>
    <w:family w:val="roman"/>
    <w:pitch w:val="default"/>
  </w:font>
  <w:font w:name="Calibri">
    <w:charset w:val="00"/>
    <w:family w:val="roman"/>
    <w:pitch w:val="default"/>
  </w:font>
  <w:font w:name="Segoe UI">
    <w:charset w:val="00"/>
    <w:family w:val="roman"/>
    <w:pitch w:val="default"/>
  </w:font>
  <w:font w:name="Helvetica">
    <w:charset w:val="00"/>
    <w:family w:val="roman"/>
    <w:pitch w:val="default"/>
  </w:font>
  <w:font w:name="Courier New">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5116195</wp:posOffset>
              </wp:positionH>
              <wp:positionV relativeFrom="page">
                <wp:posOffset>145304</wp:posOffset>
              </wp:positionV>
              <wp:extent cx="472083" cy="137071"/>
              <wp:effectExtent l="0" t="0" r="0" b="0"/>
              <wp:wrapNone/>
              <wp:docPr id="1073741825" name="officeArt object" descr="OFFICIAL"/>
              <wp:cNvGraphicFramePr/>
              <a:graphic xmlns:a="http://schemas.openxmlformats.org/drawingml/2006/main">
                <a:graphicData uri="http://schemas.microsoft.com/office/word/2010/wordprocessingShape">
                  <wps:wsp>
                    <wps:cNvSpPr txBox="1"/>
                    <wps:spPr>
                      <a:xfrm>
                        <a:off x="0" y="0"/>
                        <a:ext cx="472083" cy="137071"/>
                      </a:xfrm>
                      <a:prstGeom prst="rect">
                        <a:avLst/>
                      </a:prstGeom>
                      <a:noFill/>
                      <a:ln w="12700" cap="flat">
                        <a:noFill/>
                        <a:miter lim="400000"/>
                      </a:ln>
                      <a:effectLst/>
                    </wps:spPr>
                    <wps:txbx>
                      <w:txbxContent>
                        <w:p>
                          <w:pPr>
                            <w:pStyle w:val="Body"/>
                            <w:spacing w:after="0"/>
                          </w:pPr>
                          <w:r>
                            <w:rPr>
                              <w:rFonts w:ascii="Calibri" w:hAnsi="Calibri"/>
                              <w:outline w:val="0"/>
                              <w:color w:val="0078d7"/>
                              <w:sz w:val="20"/>
                              <w:szCs w:val="20"/>
                              <w:u w:color="0078d7"/>
                              <w:rtl w:val="0"/>
                              <w:lang w:val="en-US"/>
                              <w14:textFill>
                                <w14:solidFill>
                                  <w14:srgbClr w14:val="0078D7"/>
                                </w14:solidFill>
                              </w14:textFill>
                            </w:rPr>
                            <w:t>OFFICIAL</w:t>
                          </w:r>
                        </w:p>
                      </w:txbxContent>
                    </wps:txbx>
                    <wps:bodyPr wrap="square" lIns="0" tIns="0" rIns="0" bIns="0" numCol="1" anchor="t">
                      <a:noAutofit/>
                    </wps:bodyPr>
                  </wps:wsp>
                </a:graphicData>
              </a:graphic>
            </wp:anchor>
          </w:drawing>
        </mc:Choice>
        <mc:Fallback>
          <w:pict>
            <v:shape id="_x0000_s1036" type="#_x0000_t202" style="visibility:visible;position:absolute;margin-left:402.9pt;margin-top:11.4pt;width:37.2pt;height:10.8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after="0"/>
                    </w:pPr>
                    <w:r>
                      <w:rPr>
                        <w:rFonts w:ascii="Calibri" w:hAnsi="Calibri"/>
                        <w:outline w:val="0"/>
                        <w:color w:val="0078d7"/>
                        <w:sz w:val="20"/>
                        <w:szCs w:val="20"/>
                        <w:u w:color="0078d7"/>
                        <w:rtl w:val="0"/>
                        <w:lang w:val="en-US"/>
                        <w14:textFill>
                          <w14:solidFill>
                            <w14:srgbClr w14:val="0078D7"/>
                          </w14:solidFill>
                        </w14:textFill>
                      </w:rPr>
                      <w:t>OFFICIAL</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59264" behindDoc="1" locked="0" layoutInCell="1" allowOverlap="1">
              <wp:simplePos x="0" y="0"/>
              <wp:positionH relativeFrom="page">
                <wp:posOffset>5116195</wp:posOffset>
              </wp:positionH>
              <wp:positionV relativeFrom="page">
                <wp:posOffset>7190104</wp:posOffset>
              </wp:positionV>
              <wp:extent cx="472083" cy="137071"/>
              <wp:effectExtent l="0" t="0" r="0" b="0"/>
              <wp:wrapNone/>
              <wp:docPr id="1073741826" name="officeArt object" descr="OFFICIAL"/>
              <wp:cNvGraphicFramePr/>
              <a:graphic xmlns:a="http://schemas.openxmlformats.org/drawingml/2006/main">
                <a:graphicData uri="http://schemas.microsoft.com/office/word/2010/wordprocessingShape">
                  <wps:wsp>
                    <wps:cNvSpPr txBox="1"/>
                    <wps:spPr>
                      <a:xfrm>
                        <a:off x="0" y="0"/>
                        <a:ext cx="472083" cy="137071"/>
                      </a:xfrm>
                      <a:prstGeom prst="rect">
                        <a:avLst/>
                      </a:prstGeom>
                      <a:noFill/>
                      <a:ln w="12700" cap="flat">
                        <a:noFill/>
                        <a:miter lim="400000"/>
                      </a:ln>
                      <a:effectLst/>
                    </wps:spPr>
                    <wps:txbx>
                      <w:txbxContent>
                        <w:p>
                          <w:pPr>
                            <w:pStyle w:val="Body"/>
                            <w:spacing w:after="0"/>
                          </w:pPr>
                          <w:r>
                            <w:rPr>
                              <w:rFonts w:ascii="Calibri" w:hAnsi="Calibri"/>
                              <w:outline w:val="0"/>
                              <w:color w:val="0078d7"/>
                              <w:sz w:val="20"/>
                              <w:szCs w:val="20"/>
                              <w:u w:color="0078d7"/>
                              <w:rtl w:val="0"/>
                              <w:lang w:val="en-US"/>
                              <w14:textFill>
                                <w14:solidFill>
                                  <w14:srgbClr w14:val="0078D7"/>
                                </w14:solidFill>
                              </w14:textFill>
                            </w:rPr>
                            <w:t>OFFICIAL</w:t>
                          </w:r>
                        </w:p>
                      </w:txbxContent>
                    </wps:txbx>
                    <wps:bodyPr wrap="square" lIns="0" tIns="0" rIns="0" bIns="0" numCol="1" anchor="b">
                      <a:noAutofit/>
                    </wps:bodyPr>
                  </wps:wsp>
                </a:graphicData>
              </a:graphic>
            </wp:anchor>
          </w:drawing>
        </mc:Choice>
        <mc:Fallback>
          <w:pict>
            <v:shape id="_x0000_s1037" type="#_x0000_t202" style="visibility:visible;position:absolute;margin-left:402.9pt;margin-top:566.1pt;width:37.2pt;height:10.8pt;z-index:-25165721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after="0"/>
                    </w:pPr>
                    <w:r>
                      <w:rPr>
                        <w:rFonts w:ascii="Calibri" w:hAnsi="Calibri"/>
                        <w:outline w:val="0"/>
                        <w:color w:val="0078d7"/>
                        <w:sz w:val="20"/>
                        <w:szCs w:val="20"/>
                        <w:u w:color="0078d7"/>
                        <w:rtl w:val="0"/>
                        <w:lang w:val="en-US"/>
                        <w14:textFill>
                          <w14:solidFill>
                            <w14:srgbClr w14:val="0078D7"/>
                          </w14:solidFill>
                        </w14:textFill>
                      </w:rPr>
                      <w:t>OFFICIAL</w:t>
                    </w:r>
                  </w:p>
                </w:txbxContent>
              </v:textbox>
              <w10:wrap type="none" side="bothSides" anchorx="page" anchory="page"/>
            </v:shape>
          </w:pict>
        </mc:Fallback>
      </mc:AlternateContent>
    </w: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2"/>
  </w:abstractNum>
  <w:abstractNum w:abstractNumId="9">
    <w:multiLevelType w:val="hybridMultilevel"/>
    <w:styleLink w:val="Imported Style 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4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6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7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0">
    <w:multiLevelType w:val="hybridMultilevel"/>
    <w:numStyleLink w:val="Imported Style 3"/>
  </w:abstractNum>
  <w:abstractNum w:abstractNumId="11">
    <w:multiLevelType w:val="hybridMultilevel"/>
    <w:styleLink w:val="Imported Style 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4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6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7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2">
    <w:multiLevelType w:val="hybridMultilevel"/>
    <w:numStyleLink w:val="Imported Style 4"/>
  </w:abstractNum>
  <w:abstractNum w:abstractNumId="13">
    <w:multiLevelType w:val="hybridMultilevel"/>
    <w:styleLink w:val="Imported Style 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4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6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7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4">
    <w:multiLevelType w:val="hybridMultilevel"/>
    <w:numStyleLink w:val="Imported Style 5"/>
  </w:abstractNum>
  <w:abstractNum w:abstractNumId="15">
    <w:multiLevelType w:val="hybridMultilevel"/>
    <w:styleLink w:val="Imported Style 5"/>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4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6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7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6">
    <w:multiLevelType w:val="hybridMultilevel"/>
    <w:numStyleLink w:val="Imported Style 6"/>
  </w:abstractNum>
  <w:abstractNum w:abstractNumId="17">
    <w:multiLevelType w:val="hybridMultilevel"/>
    <w:styleLink w:val="Imported Style 6"/>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multiLevelType w:val="hybridMultilevel"/>
    <w:lvl w:ilvl="0">
      <w:start w:val="1"/>
      <w:numFmt w:val="bullet"/>
      <w:suff w:val="tab"/>
      <w:lvlText w:val="-"/>
      <w:lvlJc w:val="left"/>
      <w:pPr>
        <w:ind w:left="7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Imported Style 9"/>
  </w:abstractNum>
  <w:abstractNum w:abstractNumId="21">
    <w:multiLevelType w:val="hybridMultilevel"/>
    <w:styleLink w:val="Imported Style 9"/>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numStyleLink w:val="Imported Style 10"/>
  </w:abstractNum>
  <w:abstractNum w:abstractNumId="23">
    <w:multiLevelType w:val="hybridMultilevel"/>
    <w:styleLink w:val="Imported Style 1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multiLevelType w:val="hybridMultilevel"/>
    <w:numStyleLink w:val="Imported Style 11"/>
  </w:abstractNum>
  <w:abstractNum w:abstractNumId="25">
    <w:multiLevelType w:val="hybridMultilevel"/>
    <w:styleLink w:val="Imported Style 1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multiLevelType w:val="hybridMultilevel"/>
    <w:numStyleLink w:val="Imported Style 12"/>
  </w:abstractNum>
  <w:abstractNum w:abstractNumId="27">
    <w:multiLevelType w:val="hybridMultilevel"/>
    <w:styleLink w:val="Imported Style 1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multiLevelType w:val="hybridMultilevel"/>
    <w:numStyleLink w:val="Imported Style 13"/>
  </w:abstractNum>
  <w:abstractNum w:abstractNumId="29">
    <w:multiLevelType w:val="hybridMultilevel"/>
    <w:styleLink w:val="Imported Style 1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4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6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7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0">
    <w:multiLevelType w:val="hybridMultilevel"/>
    <w:numStyleLink w:val="Imported Style 14"/>
  </w:abstractNum>
  <w:abstractNum w:abstractNumId="31">
    <w:multiLevelType w:val="hybridMultilevel"/>
    <w:styleLink w:val="Imported Style 1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4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6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7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2">
    <w:multiLevelType w:val="hybridMultilevel"/>
    <w:numStyleLink w:val="Imported Style 15"/>
  </w:abstractNum>
  <w:abstractNum w:abstractNumId="33">
    <w:multiLevelType w:val="hybridMultilevel"/>
    <w:styleLink w:val="Imported Style 15"/>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4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6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7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4">
    <w:multiLevelType w:val="hybridMultilevel"/>
    <w:numStyleLink w:val="Imported Style 16"/>
  </w:abstractNum>
  <w:abstractNum w:abstractNumId="35">
    <w:multiLevelType w:val="hybridMultilevel"/>
    <w:styleLink w:val="Imported Style 16"/>
    <w:lvl w:ilvl="0">
      <w:start w:val="1"/>
      <w:numFmt w:val="bullet"/>
      <w:suff w:val="tab"/>
      <w:lvlText w:val="·"/>
      <w:lvlJc w:val="left"/>
      <w:pPr>
        <w:tabs>
          <w:tab w:val="left" w:pos="720"/>
        </w:tabs>
        <w:ind w:left="71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43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5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7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59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1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3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75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7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6">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multiLevelType w:val="hybridMultilevel"/>
    <w:numStyleLink w:val="Imported Style 18"/>
  </w:abstractNum>
  <w:abstractNum w:abstractNumId="38">
    <w:multiLevelType w:val="hybridMultilevel"/>
    <w:styleLink w:val="Imported Style 18"/>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multiLevelType w:val="hybridMultilevel"/>
    <w:numStyleLink w:val="Imported Style 19"/>
  </w:abstractNum>
  <w:abstractNum w:abstractNumId="40">
    <w:multiLevelType w:val="hybridMultilevel"/>
    <w:styleLink w:val="Imported Style 19"/>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multiLevelType w:val="hybridMultilevel"/>
    <w:numStyleLink w:val="Imported Style 20"/>
  </w:abstractNum>
  <w:abstractNum w:abstractNumId="42">
    <w:multiLevelType w:val="hybridMultilevel"/>
    <w:styleLink w:val="Imported Style 2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multiLevelType w:val="hybridMultilevel"/>
    <w:numStyleLink w:val="Imported Style 21"/>
  </w:abstractNum>
  <w:abstractNum w:abstractNumId="44">
    <w:multiLevelType w:val="hybridMultilevel"/>
    <w:styleLink w:val="Imported Style 2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4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6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7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6">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4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6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7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7">
    <w:multiLevelType w:val="hybridMultilevel"/>
    <w:numStyleLink w:val="Imported Style 24"/>
  </w:abstractNum>
  <w:abstractNum w:abstractNumId="48">
    <w:multiLevelType w:val="hybridMultilevel"/>
    <w:styleLink w:val="Imported Style 2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4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6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7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9">
    <w:multiLevelType w:val="hybridMultilevel"/>
    <w:numStyleLink w:val="Imported Style 25"/>
  </w:abstractNum>
  <w:abstractNum w:abstractNumId="50">
    <w:multiLevelType w:val="hybridMultilevel"/>
    <w:styleLink w:val="Imported Style 25"/>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
    <w:multiLevelType w:val="hybridMultilevel"/>
    <w:numStyleLink w:val="Imported Style 26"/>
  </w:abstractNum>
  <w:abstractNum w:abstractNumId="52">
    <w:multiLevelType w:val="hybridMultilevel"/>
    <w:styleLink w:val="Imported Style 26"/>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4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6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7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3">
    <w:multiLevelType w:val="hybridMultilevel"/>
    <w:numStyleLink w:val="Imported Style 27"/>
  </w:abstractNum>
  <w:abstractNum w:abstractNumId="54">
    <w:multiLevelType w:val="hybridMultilevel"/>
    <w:styleLink w:val="Imported Style 27"/>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4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6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7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5">
    <w:multiLevelType w:val="hybridMultilevel"/>
    <w:numStyleLink w:val="Imported Style 28"/>
  </w:abstractNum>
  <w:abstractNum w:abstractNumId="56">
    <w:multiLevelType w:val="hybridMultilevel"/>
    <w:styleLink w:val="Imported Style 28"/>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4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6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7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7">
    <w:multiLevelType w:val="hybridMultilevel"/>
    <w:numStyleLink w:val="Imported Style 29"/>
  </w:abstractNum>
  <w:abstractNum w:abstractNumId="58">
    <w:multiLevelType w:val="hybridMultilevel"/>
    <w:styleLink w:val="Imported Style 29"/>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multiLevelType w:val="hybridMultilevel"/>
    <w:numStyleLink w:val="Imported Style 30"/>
  </w:abstractNum>
  <w:abstractNum w:abstractNumId="60">
    <w:multiLevelType w:val="hybridMultilevel"/>
    <w:styleLink w:val="Imported Style 30"/>
    <w:lvl w:ilvl="0">
      <w:start w:val="1"/>
      <w:numFmt w:val="decimal"/>
      <w:suff w:val="tab"/>
      <w:lvlText w:val="%1."/>
      <w:lvlJc w:val="left"/>
      <w:pPr>
        <w:tabs>
          <w:tab w:val="left" w:pos="720"/>
        </w:tabs>
        <w:ind w:left="714" w:hanging="35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34" w:hanging="35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54" w:hanging="35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74" w:hanging="35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594" w:hanging="35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14" w:hanging="35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34" w:hanging="35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54" w:hanging="35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74" w:hanging="35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multiLevelType w:val="hybridMultilevel"/>
    <w:numStyleLink w:val="Imported Style 31"/>
  </w:abstractNum>
  <w:abstractNum w:abstractNumId="62">
    <w:multiLevelType w:val="hybridMultilevel"/>
    <w:styleLink w:val="Imported Style 31"/>
    <w:lvl w:ilvl="0">
      <w:start w:val="1"/>
      <w:numFmt w:val="bullet"/>
      <w:suff w:val="tab"/>
      <w:lvlText w:val="·"/>
      <w:lvlJc w:val="left"/>
      <w:pPr>
        <w:tabs>
          <w:tab w:val="left" w:pos="720"/>
        </w:tabs>
        <w:ind w:left="71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43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5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7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59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1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3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75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7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3">
    <w:multiLevelType w:val="hybridMultilevel"/>
    <w:numStyleLink w:val="Imported Style 32"/>
  </w:abstractNum>
  <w:abstractNum w:abstractNumId="64">
    <w:multiLevelType w:val="hybridMultilevel"/>
    <w:styleLink w:val="Imported Style 32"/>
    <w:lvl w:ilvl="0">
      <w:start w:val="1"/>
      <w:numFmt w:val="bullet"/>
      <w:suff w:val="tab"/>
      <w:lvlText w:val="·"/>
      <w:lvlJc w:val="left"/>
      <w:pPr>
        <w:tabs>
          <w:tab w:val="left" w:pos="720"/>
        </w:tabs>
        <w:ind w:left="71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43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5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7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59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1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3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75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7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5">
    <w:multiLevelType w:val="hybridMultilevel"/>
    <w:numStyleLink w:val="Imported Style 33"/>
  </w:abstractNum>
  <w:abstractNum w:abstractNumId="66">
    <w:multiLevelType w:val="hybridMultilevel"/>
    <w:styleLink w:val="Imported Style 33"/>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7">
    <w:multiLevelType w:val="hybridMultilevel"/>
    <w:numStyleLink w:val="Imported Style 34"/>
  </w:abstractNum>
  <w:abstractNum w:abstractNumId="68">
    <w:multiLevelType w:val="hybridMultilevel"/>
    <w:styleLink w:val="Imported Style 3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4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6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7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9">
    <w:multiLevelType w:val="hybridMultilevel"/>
    <w:numStyleLink w:val="Imported Style 35"/>
  </w:abstractNum>
  <w:abstractNum w:abstractNumId="70">
    <w:multiLevelType w:val="hybridMultilevel"/>
    <w:styleLink w:val="Imported Style 35"/>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4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6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7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71">
    <w:multiLevelType w:val="hybridMultilevel"/>
    <w:numStyleLink w:val="Imported Style 36"/>
  </w:abstractNum>
  <w:abstractNum w:abstractNumId="72">
    <w:multiLevelType w:val="hybridMultilevel"/>
    <w:styleLink w:val="Imported Style 36"/>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4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6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7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73">
    <w:multiLevelType w:val="hybridMultilevel"/>
    <w:numStyleLink w:val="Imported Style 37"/>
  </w:abstractNum>
  <w:abstractNum w:abstractNumId="74">
    <w:multiLevelType w:val="hybridMultilevel"/>
    <w:styleLink w:val="Imported Style 37"/>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4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6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7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9"/>
  </w:num>
  <w:num w:numId="10">
    <w:abstractNumId w:val="8"/>
  </w:num>
  <w:num w:numId="11">
    <w:abstractNumId w:val="11"/>
  </w:num>
  <w:num w:numId="12">
    <w:abstractNumId w:val="10"/>
  </w:num>
  <w:num w:numId="13">
    <w:abstractNumId w:val="13"/>
  </w:num>
  <w:num w:numId="14">
    <w:abstractNumId w:val="12"/>
  </w:num>
  <w:num w:numId="15">
    <w:abstractNumId w:val="15"/>
  </w:num>
  <w:num w:numId="16">
    <w:abstractNumId w:val="14"/>
  </w:num>
  <w:num w:numId="17">
    <w:abstractNumId w:val="17"/>
  </w:num>
  <w:num w:numId="18">
    <w:abstractNumId w:val="16"/>
  </w:num>
  <w:num w:numId="19">
    <w:abstractNumId w:val="18"/>
  </w:num>
  <w:num w:numId="20">
    <w:abstractNumId w:val="19"/>
  </w:num>
  <w:num w:numId="21">
    <w:abstractNumId w:val="18"/>
    <w:lvlOverride w:ilvl="0">
      <w:startOverride w:val="2"/>
    </w:lvlOverride>
  </w:num>
  <w:num w:numId="22">
    <w:abstractNumId w:val="21"/>
  </w:num>
  <w:num w:numId="23">
    <w:abstractNumId w:val="20"/>
  </w:num>
  <w:num w:numId="24">
    <w:abstractNumId w:val="23"/>
  </w:num>
  <w:num w:numId="25">
    <w:abstractNumId w:val="22"/>
  </w:num>
  <w:num w:numId="26">
    <w:abstractNumId w:val="25"/>
  </w:num>
  <w:num w:numId="27">
    <w:abstractNumId w:val="24"/>
  </w:num>
  <w:num w:numId="28">
    <w:abstractNumId w:val="27"/>
  </w:num>
  <w:num w:numId="29">
    <w:abstractNumId w:val="26"/>
  </w:num>
  <w:num w:numId="30">
    <w:abstractNumId w:val="29"/>
  </w:num>
  <w:num w:numId="31">
    <w:abstractNumId w:val="28"/>
  </w:num>
  <w:num w:numId="32">
    <w:abstractNumId w:val="31"/>
  </w:num>
  <w:num w:numId="33">
    <w:abstractNumId w:val="30"/>
  </w:num>
  <w:num w:numId="34">
    <w:abstractNumId w:val="33"/>
  </w:num>
  <w:num w:numId="35">
    <w:abstractNumId w:val="32"/>
  </w:num>
  <w:num w:numId="36">
    <w:abstractNumId w:val="32"/>
    <w:lvlOverride w:ilvl="0">
      <w:lvl w:ilvl="0">
        <w:start w:val="1"/>
        <w:numFmt w:val="bullet"/>
        <w:suff w:val="tab"/>
        <w:lvlText w:val="·"/>
        <w:lvlJc w:val="left"/>
        <w:pPr>
          <w:tabs>
            <w:tab w:val="left" w:pos="720"/>
          </w:tabs>
          <w:ind w:left="71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start w:val="1"/>
        <w:numFmt w:val="bullet"/>
        <w:suff w:val="tab"/>
        <w:lvlText w:val="·"/>
        <w:lvlJc w:val="left"/>
        <w:pPr>
          <w:tabs>
            <w:tab w:val="left" w:pos="720"/>
          </w:tabs>
          <w:ind w:left="143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start w:val="1"/>
        <w:numFmt w:val="bullet"/>
        <w:suff w:val="tab"/>
        <w:lvlText w:val="·"/>
        <w:lvlJc w:val="left"/>
        <w:pPr>
          <w:tabs>
            <w:tab w:val="left" w:pos="720"/>
          </w:tabs>
          <w:ind w:left="215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start w:val="1"/>
        <w:numFmt w:val="bullet"/>
        <w:suff w:val="tab"/>
        <w:lvlText w:val="·"/>
        <w:lvlJc w:val="left"/>
        <w:pPr>
          <w:tabs>
            <w:tab w:val="left" w:pos="720"/>
          </w:tabs>
          <w:ind w:left="287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start w:val="1"/>
        <w:numFmt w:val="bullet"/>
        <w:suff w:val="tab"/>
        <w:lvlText w:val="·"/>
        <w:lvlJc w:val="left"/>
        <w:pPr>
          <w:tabs>
            <w:tab w:val="left" w:pos="720"/>
          </w:tabs>
          <w:ind w:left="359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start w:val="1"/>
        <w:numFmt w:val="bullet"/>
        <w:suff w:val="tab"/>
        <w:lvlText w:val="·"/>
        <w:lvlJc w:val="left"/>
        <w:pPr>
          <w:tabs>
            <w:tab w:val="left" w:pos="720"/>
          </w:tabs>
          <w:ind w:left="431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start w:val="1"/>
        <w:numFmt w:val="bullet"/>
        <w:suff w:val="tab"/>
        <w:lvlText w:val="·"/>
        <w:lvlJc w:val="left"/>
        <w:pPr>
          <w:tabs>
            <w:tab w:val="left" w:pos="720"/>
          </w:tabs>
          <w:ind w:left="503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start w:val="1"/>
        <w:numFmt w:val="bullet"/>
        <w:suff w:val="tab"/>
        <w:lvlText w:val="·"/>
        <w:lvlJc w:val="left"/>
        <w:pPr>
          <w:tabs>
            <w:tab w:val="left" w:pos="720"/>
          </w:tabs>
          <w:ind w:left="575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start w:val="1"/>
        <w:numFmt w:val="bullet"/>
        <w:suff w:val="tab"/>
        <w:lvlText w:val="·"/>
        <w:lvlJc w:val="left"/>
        <w:pPr>
          <w:tabs>
            <w:tab w:val="left" w:pos="720"/>
          </w:tabs>
          <w:ind w:left="647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37">
    <w:abstractNumId w:val="35"/>
  </w:num>
  <w:num w:numId="38">
    <w:abstractNumId w:val="34"/>
  </w:num>
  <w:num w:numId="39">
    <w:abstractNumId w:val="36"/>
  </w:num>
  <w:num w:numId="40">
    <w:abstractNumId w:val="38"/>
  </w:num>
  <w:num w:numId="41">
    <w:abstractNumId w:val="37"/>
  </w:num>
  <w:num w:numId="42">
    <w:abstractNumId w:val="37"/>
    <w:lvlOverride w:ilvl="0">
      <w:lvl w:ilvl="0">
        <w:start w:val="1"/>
        <w:numFmt w:val="bullet"/>
        <w:suff w:val="tab"/>
        <w:lvlText w:val="·"/>
        <w:lvlJc w:val="left"/>
        <w:pPr>
          <w:ind w:left="71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1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8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6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3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0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7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4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3">
    <w:abstractNumId w:val="37"/>
    <w:lvlOverride w:ilvl="0">
      <w:lvl w:ilvl="0">
        <w:start w:val="1"/>
        <w:numFmt w:val="bullet"/>
        <w:suff w:val="tab"/>
        <w:lvlText w:val="·"/>
        <w:lvlJc w:val="left"/>
        <w:pPr>
          <w:tabs>
            <w:tab w:val="left" w:pos="4330"/>
          </w:tabs>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left" w:pos="4330"/>
          </w:tabs>
          <w:ind w:left="1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4330"/>
          </w:tabs>
          <w:ind w:left="21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4330"/>
          </w:tabs>
          <w:ind w:left="28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4330"/>
          </w:tabs>
          <w:ind w:left="36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4330"/>
          </w:tabs>
          <w:ind w:left="43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4330"/>
          </w:tabs>
          <w:ind w:left="50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4330"/>
          </w:tabs>
          <w:ind w:left="57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4330"/>
          </w:tabs>
          <w:ind w:left="64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4">
    <w:abstractNumId w:val="37"/>
    <w:lvlOverride w:ilvl="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left" w:pos="4330"/>
          </w:tabs>
          <w:ind w:left="1434"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4330"/>
          </w:tabs>
          <w:ind w:left="2154"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4330"/>
          </w:tabs>
          <w:ind w:left="2874"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4330"/>
          </w:tabs>
          <w:ind w:left="3594"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4330"/>
          </w:tabs>
          <w:ind w:left="4314"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4330"/>
          </w:tabs>
          <w:ind w:left="5034"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4330"/>
          </w:tabs>
          <w:ind w:left="5754"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4330"/>
          </w:tabs>
          <w:ind w:left="6474"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5">
    <w:abstractNumId w:val="37"/>
    <w:lvlOverride w:ilvl="0">
      <w:lvl w:ilvl="0">
        <w:start w:val="1"/>
        <w:numFmt w:val="bullet"/>
        <w:suff w:val="tab"/>
        <w:lvlText w:val="·"/>
        <w:lvlJc w:val="left"/>
        <w:pPr>
          <w:tabs>
            <w:tab w:val="num" w:pos="720"/>
          </w:tabs>
          <w:ind w:left="2035" w:hanging="1675"/>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num" w:pos="1440"/>
          </w:tabs>
          <w:ind w:left="2755" w:hanging="167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num" w:pos="2160"/>
          </w:tabs>
          <w:ind w:left="3475" w:hanging="167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num" w:pos="2880"/>
          </w:tabs>
          <w:ind w:left="4195" w:hanging="1675"/>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num" w:pos="3600"/>
          </w:tabs>
          <w:ind w:left="4915" w:hanging="167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num" w:pos="4320"/>
          </w:tabs>
          <w:ind w:left="5635" w:hanging="167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num" w:pos="5040"/>
          </w:tabs>
          <w:ind w:left="6355" w:hanging="1675"/>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num" w:pos="5760"/>
          </w:tabs>
          <w:ind w:left="7075" w:hanging="167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num" w:pos="6480"/>
          </w:tabs>
          <w:ind w:left="7795" w:hanging="167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6">
    <w:abstractNumId w:val="40"/>
  </w:num>
  <w:num w:numId="47">
    <w:abstractNumId w:val="39"/>
  </w:num>
  <w:num w:numId="48">
    <w:abstractNumId w:val="42"/>
  </w:num>
  <w:num w:numId="49">
    <w:abstractNumId w:val="41"/>
  </w:num>
  <w:num w:numId="50">
    <w:abstractNumId w:val="44"/>
  </w:num>
  <w:num w:numId="51">
    <w:abstractNumId w:val="43"/>
  </w:num>
  <w:num w:numId="52">
    <w:abstractNumId w:val="45"/>
  </w:num>
  <w:num w:numId="53">
    <w:abstractNumId w:val="46"/>
  </w:num>
  <w:num w:numId="54">
    <w:abstractNumId w:val="48"/>
  </w:num>
  <w:num w:numId="55">
    <w:abstractNumId w:val="47"/>
  </w:num>
  <w:num w:numId="56">
    <w:abstractNumId w:val="50"/>
  </w:num>
  <w:num w:numId="57">
    <w:abstractNumId w:val="49"/>
  </w:num>
  <w:num w:numId="58">
    <w:abstractNumId w:val="52"/>
  </w:num>
  <w:num w:numId="59">
    <w:abstractNumId w:val="51"/>
  </w:num>
  <w:num w:numId="60">
    <w:abstractNumId w:val="54"/>
  </w:num>
  <w:num w:numId="61">
    <w:abstractNumId w:val="53"/>
  </w:num>
  <w:num w:numId="62">
    <w:abstractNumId w:val="56"/>
  </w:num>
  <w:num w:numId="63">
    <w:abstractNumId w:val="55"/>
  </w:num>
  <w:num w:numId="64">
    <w:abstractNumId w:val="58"/>
  </w:num>
  <w:num w:numId="65">
    <w:abstractNumId w:val="57"/>
  </w:num>
  <w:num w:numId="66">
    <w:abstractNumId w:val="60"/>
  </w:num>
  <w:num w:numId="67">
    <w:abstractNumId w:val="59"/>
  </w:num>
  <w:num w:numId="68">
    <w:abstractNumId w:val="62"/>
  </w:num>
  <w:num w:numId="69">
    <w:abstractNumId w:val="61"/>
  </w:num>
  <w:num w:numId="70">
    <w:abstractNumId w:val="64"/>
  </w:num>
  <w:num w:numId="71">
    <w:abstractNumId w:val="63"/>
  </w:num>
  <w:num w:numId="72">
    <w:abstractNumId w:val="63"/>
    <w:lvlOverride w:ilvl="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start w:val="1"/>
        <w:numFmt w:val="bullet"/>
        <w:suff w:val="tab"/>
        <w:lvlText w:val="·"/>
        <w:lvlJc w:val="left"/>
        <w:pPr>
          <w:tabs>
            <w:tab w:val="left" w:pos="720"/>
          </w:tabs>
          <w:ind w:left="14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start w:val="1"/>
        <w:numFmt w:val="bullet"/>
        <w:suff w:val="tab"/>
        <w:lvlText w:val="·"/>
        <w:lvlJc w:val="left"/>
        <w:pPr>
          <w:tabs>
            <w:tab w:val="left" w:pos="720"/>
          </w:tabs>
          <w:ind w:left="21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start w:val="1"/>
        <w:numFmt w:val="bullet"/>
        <w:suff w:val="tab"/>
        <w:lvlText w:val="·"/>
        <w:lvlJc w:val="left"/>
        <w:pPr>
          <w:tabs>
            <w:tab w:val="left" w:pos="72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start w:val="1"/>
        <w:numFmt w:val="bullet"/>
        <w:suff w:val="tab"/>
        <w:lvlText w:val="·"/>
        <w:lvlJc w:val="left"/>
        <w:pPr>
          <w:tabs>
            <w:tab w:val="left" w:pos="720"/>
          </w:tabs>
          <w:ind w:left="36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start w:val="1"/>
        <w:numFmt w:val="bullet"/>
        <w:suff w:val="tab"/>
        <w:lvlText w:val="·"/>
        <w:lvlJc w:val="left"/>
        <w:pPr>
          <w:tabs>
            <w:tab w:val="left" w:pos="720"/>
          </w:tabs>
          <w:ind w:left="43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start w:val="1"/>
        <w:numFmt w:val="bullet"/>
        <w:suff w:val="tab"/>
        <w:lvlText w:val="·"/>
        <w:lvlJc w:val="left"/>
        <w:pPr>
          <w:tabs>
            <w:tab w:val="left" w:pos="72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start w:val="1"/>
        <w:numFmt w:val="bullet"/>
        <w:suff w:val="tab"/>
        <w:lvlText w:val="·"/>
        <w:lvlJc w:val="left"/>
        <w:pPr>
          <w:tabs>
            <w:tab w:val="left" w:pos="720"/>
          </w:tabs>
          <w:ind w:left="57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start w:val="1"/>
        <w:numFmt w:val="bullet"/>
        <w:suff w:val="tab"/>
        <w:lvlText w:val="·"/>
        <w:lvlJc w:val="left"/>
        <w:pPr>
          <w:tabs>
            <w:tab w:val="left" w:pos="720"/>
          </w:tabs>
          <w:ind w:left="64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73">
    <w:abstractNumId w:val="66"/>
  </w:num>
  <w:num w:numId="74">
    <w:abstractNumId w:val="65"/>
  </w:num>
  <w:num w:numId="75">
    <w:abstractNumId w:val="65"/>
    <w:lvlOverride w:ilvl="0">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start w:val="1"/>
        <w:numFmt w:val="lowerRoman"/>
        <w:suff w:val="tab"/>
        <w:lvlText w:val="%3."/>
        <w:lvlJc w:val="left"/>
        <w:pPr>
          <w:ind w:left="2160" w:hanging="302"/>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start w:val="1"/>
        <w:numFmt w:val="lowerRoman"/>
        <w:suff w:val="tab"/>
        <w:lvlText w:val="%6."/>
        <w:lvlJc w:val="left"/>
        <w:pPr>
          <w:ind w:left="4320" w:hanging="302"/>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start w:val="1"/>
        <w:numFmt w:val="lowerRoman"/>
        <w:suff w:val="tab"/>
        <w:lvlText w:val="%9."/>
        <w:lvlJc w:val="left"/>
        <w:pPr>
          <w:ind w:left="6480" w:hanging="302"/>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num>
  <w:num w:numId="76">
    <w:abstractNumId w:val="68"/>
  </w:num>
  <w:num w:numId="77">
    <w:abstractNumId w:val="67"/>
  </w:num>
  <w:num w:numId="78">
    <w:abstractNumId w:val="70"/>
  </w:num>
  <w:num w:numId="79">
    <w:abstractNumId w:val="69"/>
  </w:num>
  <w:num w:numId="80">
    <w:abstractNumId w:val="72"/>
  </w:num>
  <w:num w:numId="81">
    <w:abstractNumId w:val="71"/>
  </w:num>
  <w:num w:numId="82">
    <w:abstractNumId w:val="74"/>
  </w:num>
  <w:num w:numId="83">
    <w:abstractNumId w:val="73"/>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Aptos" w:cs="Aptos" w:hAnsi="Aptos" w:eastAsia="Aptos"/>
      <w:b w:val="0"/>
      <w:bCs w:val="0"/>
      <w:i w:val="0"/>
      <w:iCs w:val="0"/>
      <w:caps w:val="0"/>
      <w:smallCaps w:val="0"/>
      <w:strike w:val="0"/>
      <w:dstrike w:val="0"/>
      <w:outline w:val="0"/>
      <w:color w:val="000000"/>
      <w:spacing w:val="0"/>
      <w:kern w:val="2"/>
      <w:position w:val="0"/>
      <w:sz w:val="24"/>
      <w:szCs w:val="24"/>
      <w:u w:val="none" w:color="000000"/>
      <w:shd w:val="nil" w:color="auto" w:fill="auto"/>
      <w:vertAlign w:val="baseline"/>
      <w:lang w:val="en-US"/>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160" w:line="278" w:lineRule="auto"/>
      <w:ind w:left="0" w:right="0" w:firstLine="0"/>
      <w:jc w:val="left"/>
      <w:outlineLvl w:val="9"/>
    </w:pPr>
    <w:rPr>
      <w:rFonts w:ascii="Aptos" w:cs="Aptos" w:hAnsi="Aptos" w:eastAsia="Aptos"/>
      <w:b w:val="0"/>
      <w:bCs w:val="0"/>
      <w:i w:val="0"/>
      <w:iCs w:val="0"/>
      <w:caps w:val="0"/>
      <w:smallCaps w:val="0"/>
      <w:strike w:val="0"/>
      <w:dstrike w:val="0"/>
      <w:outline w:val="0"/>
      <w:color w:val="000000"/>
      <w:spacing w:val="0"/>
      <w:kern w:val="2"/>
      <w:position w:val="0"/>
      <w:sz w:val="24"/>
      <w:szCs w:val="24"/>
      <w:u w:val="none" w:color="000000"/>
      <w:shd w:val="nil" w:color="auto" w:fill="auto"/>
      <w:vertAlign w:val="baseline"/>
      <w:lang w:val="en-US"/>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Aptos" w:cs="Aptos" w:hAnsi="Aptos" w:eastAsia="Aptos"/>
      <w:b w:val="0"/>
      <w:bCs w:val="0"/>
      <w:i w:val="0"/>
      <w:iCs w:val="0"/>
      <w:caps w:val="0"/>
      <w:smallCaps w:val="0"/>
      <w:strike w:val="0"/>
      <w:dstrike w:val="0"/>
      <w:outline w:val="0"/>
      <w:color w:val="000000"/>
      <w:spacing w:val="0"/>
      <w:kern w:val="2"/>
      <w:position w:val="0"/>
      <w:sz w:val="24"/>
      <w:szCs w:val="24"/>
      <w:u w:val="none" w:color="000000"/>
      <w:shd w:val="nil" w:color="auto" w:fill="auto"/>
      <w:vertAlign w:val="baseline"/>
      <w:lang w:val="en-US"/>
      <w14:textFill>
        <w14:solidFill>
          <w14:srgbClr w14:val="000000"/>
        </w14:solidFill>
      </w14:textFill>
    </w:rPr>
  </w:style>
  <w:style w:type="character" w:styleId="Link">
    <w:name w:val="Link"/>
    <w:rPr>
      <w:outline w:val="0"/>
      <w:color w:val="467886"/>
      <w:u w:val="single" w:color="467886"/>
      <w14:textFill>
        <w14:solidFill>
          <w14:srgbClr w14:val="467886"/>
        </w14:solidFill>
      </w14:textFill>
    </w:rPr>
  </w:style>
  <w:style w:type="character" w:styleId="Hyperlink.0">
    <w:name w:val="Hyperlink.0"/>
    <w:basedOn w:val="Link"/>
    <w:next w:val="Hyperlink.0"/>
    <w:rPr>
      <w:rFonts w:ascii="Arial" w:cs="Arial" w:hAnsi="Arial" w:eastAsia="Aria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160" w:line="278" w:lineRule="auto"/>
      <w:ind w:left="720" w:right="0" w:firstLine="0"/>
      <w:jc w:val="left"/>
      <w:outlineLvl w:val="9"/>
    </w:pPr>
    <w:rPr>
      <w:rFonts w:ascii="Aptos" w:cs="Aptos" w:hAnsi="Aptos" w:eastAsia="Aptos"/>
      <w:b w:val="0"/>
      <w:bCs w:val="0"/>
      <w:i w:val="0"/>
      <w:iCs w:val="0"/>
      <w:caps w:val="0"/>
      <w:smallCaps w:val="0"/>
      <w:strike w:val="0"/>
      <w:dstrike w:val="0"/>
      <w:outline w:val="0"/>
      <w:color w:val="000000"/>
      <w:spacing w:val="0"/>
      <w:kern w:val="2"/>
      <w:position w:val="0"/>
      <w:sz w:val="24"/>
      <w:szCs w:val="24"/>
      <w:u w:val="none" w:color="000000"/>
      <w:shd w:val="nil" w:color="auto" w:fill="auto"/>
      <w:vertAlign w:val="baseline"/>
      <w:lang w:val="en-US"/>
      <w14:textFill>
        <w14:solidFill>
          <w14:srgbClr w14:val="000000"/>
        </w14:solidFill>
      </w14:textFill>
    </w:rPr>
  </w:style>
  <w:style w:type="numbering" w:styleId="Imported Style 2">
    <w:name w:val="Imported Style 2"/>
    <w:pPr>
      <w:numPr>
        <w:numId w:val="9"/>
      </w:numPr>
    </w:pPr>
  </w:style>
  <w:style w:type="character" w:styleId="wacimagecontainer">
    <w:name w:val="wacimagecontainer"/>
    <w:rPr>
      <w:lang w:val="en-US"/>
    </w:rPr>
  </w:style>
  <w:style w:type="numbering" w:styleId="Imported Style 3">
    <w:name w:val="Imported Style 3"/>
    <w:pPr>
      <w:numPr>
        <w:numId w:val="11"/>
      </w:numPr>
    </w:pPr>
  </w:style>
  <w:style w:type="numbering" w:styleId="Imported Style 4">
    <w:name w:val="Imported Style 4"/>
    <w:pPr>
      <w:numPr>
        <w:numId w:val="13"/>
      </w:numPr>
    </w:pPr>
  </w:style>
  <w:style w:type="numbering" w:styleId="Imported Style 5">
    <w:name w:val="Imported Style 5"/>
    <w:pPr>
      <w:numPr>
        <w:numId w:val="15"/>
      </w:numPr>
    </w:pPr>
  </w:style>
  <w:style w:type="numbering" w:styleId="Imported Style 6">
    <w:name w:val="Imported Style 6"/>
    <w:pPr>
      <w:numPr>
        <w:numId w:val="17"/>
      </w:numPr>
    </w:pPr>
  </w:style>
  <w:style w:type="character" w:styleId="None">
    <w:name w:val="None"/>
  </w:style>
  <w:style w:type="character" w:styleId="Hyperlink.1">
    <w:name w:val="Hyperlink.1"/>
    <w:basedOn w:val="None"/>
    <w:next w:val="Hyperlink.1"/>
    <w:rPr>
      <w:outline w:val="0"/>
      <w:color w:val="0000ff"/>
      <w:u w:val="single" w:color="0000ff"/>
      <w14:textFill>
        <w14:solidFill>
          <w14:srgbClr w14:val="0000FF"/>
        </w14:solidFill>
      </w14:textFill>
    </w:rPr>
  </w:style>
  <w:style w:type="numbering" w:styleId="Imported Style 9">
    <w:name w:val="Imported Style 9"/>
    <w:pPr>
      <w:numPr>
        <w:numId w:val="22"/>
      </w:numPr>
    </w:pPr>
  </w:style>
  <w:style w:type="character" w:styleId="Hyperlink.2">
    <w:name w:val="Hyperlink.2"/>
    <w:basedOn w:val="None"/>
    <w:next w:val="Hyperlink.2"/>
    <w:rPr>
      <w:rFonts w:ascii="Arial" w:cs="Arial" w:hAnsi="Arial" w:eastAsia="Arial"/>
      <w:outline w:val="0"/>
      <w:color w:val="0000ff"/>
      <w:u w:val="single" w:color="0000ff"/>
      <w14:textFill>
        <w14:solidFill>
          <w14:srgbClr w14:val="0000FF"/>
        </w14:solidFill>
      </w14:textFill>
    </w:rPr>
  </w:style>
  <w:style w:type="numbering" w:styleId="Imported Style 10">
    <w:name w:val="Imported Style 10"/>
    <w:pPr>
      <w:numPr>
        <w:numId w:val="24"/>
      </w:numPr>
    </w:pPr>
  </w:style>
  <w:style w:type="numbering" w:styleId="Imported Style 11">
    <w:name w:val="Imported Style 11"/>
    <w:pPr>
      <w:numPr>
        <w:numId w:val="26"/>
      </w:numPr>
    </w:pPr>
  </w:style>
  <w:style w:type="numbering" w:styleId="Imported Style 12">
    <w:name w:val="Imported Style 12"/>
    <w:pPr>
      <w:numPr>
        <w:numId w:val="28"/>
      </w:numPr>
    </w:pPr>
  </w:style>
  <w:style w:type="numbering" w:styleId="Imported Style 13">
    <w:name w:val="Imported Style 13"/>
    <w:pPr>
      <w:numPr>
        <w:numId w:val="30"/>
      </w:numPr>
    </w:pPr>
  </w:style>
  <w:style w:type="numbering" w:styleId="Imported Style 14">
    <w:name w:val="Imported Style 14"/>
    <w:pPr>
      <w:numPr>
        <w:numId w:val="32"/>
      </w:numPr>
    </w:pPr>
  </w:style>
  <w:style w:type="numbering" w:styleId="Imported Style 15">
    <w:name w:val="Imported Style 15"/>
    <w:pPr>
      <w:numPr>
        <w:numId w:val="34"/>
      </w:numPr>
    </w:pPr>
  </w:style>
  <w:style w:type="numbering" w:styleId="Imported Style 16">
    <w:name w:val="Imported Style 16"/>
    <w:pPr>
      <w:numPr>
        <w:numId w:val="37"/>
      </w:numPr>
    </w:pPr>
  </w:style>
  <w:style w:type="numbering" w:styleId="Imported Style 18">
    <w:name w:val="Imported Style 18"/>
    <w:pPr>
      <w:numPr>
        <w:numId w:val="40"/>
      </w:numPr>
    </w:pPr>
  </w:style>
  <w:style w:type="numbering" w:styleId="Imported Style 19">
    <w:name w:val="Imported Style 19"/>
    <w:pPr>
      <w:numPr>
        <w:numId w:val="46"/>
      </w:numPr>
    </w:pPr>
  </w:style>
  <w:style w:type="numbering" w:styleId="Imported Style 20">
    <w:name w:val="Imported Style 20"/>
    <w:pPr>
      <w:numPr>
        <w:numId w:val="48"/>
      </w:numPr>
    </w:pPr>
  </w:style>
  <w:style w:type="numbering" w:styleId="Imported Style 21">
    <w:name w:val="Imported Style 21"/>
    <w:pPr>
      <w:numPr>
        <w:numId w:val="50"/>
      </w:numPr>
    </w:pPr>
  </w:style>
  <w:style w:type="numbering" w:styleId="Imported Style 24">
    <w:name w:val="Imported Style 24"/>
    <w:pPr>
      <w:numPr>
        <w:numId w:val="54"/>
      </w:numPr>
    </w:pPr>
  </w:style>
  <w:style w:type="numbering" w:styleId="Imported Style 25">
    <w:name w:val="Imported Style 25"/>
    <w:pPr>
      <w:numPr>
        <w:numId w:val="56"/>
      </w:numPr>
    </w:pPr>
  </w:style>
  <w:style w:type="numbering" w:styleId="Imported Style 26">
    <w:name w:val="Imported Style 26"/>
    <w:pPr>
      <w:numPr>
        <w:numId w:val="58"/>
      </w:numPr>
    </w:pPr>
  </w:style>
  <w:style w:type="numbering" w:styleId="Imported Style 27">
    <w:name w:val="Imported Style 27"/>
    <w:pPr>
      <w:numPr>
        <w:numId w:val="60"/>
      </w:numPr>
    </w:pPr>
  </w:style>
  <w:style w:type="numbering" w:styleId="Imported Style 28">
    <w:name w:val="Imported Style 28"/>
    <w:pPr>
      <w:numPr>
        <w:numId w:val="62"/>
      </w:numPr>
    </w:pPr>
  </w:style>
  <w:style w:type="numbering" w:styleId="Imported Style 29">
    <w:name w:val="Imported Style 29"/>
    <w:pPr>
      <w:numPr>
        <w:numId w:val="64"/>
      </w:numPr>
    </w:pPr>
  </w:style>
  <w:style w:type="numbering" w:styleId="Imported Style 30">
    <w:name w:val="Imported Style 30"/>
    <w:pPr>
      <w:numPr>
        <w:numId w:val="66"/>
      </w:numPr>
    </w:pPr>
  </w:style>
  <w:style w:type="numbering" w:styleId="Imported Style 31">
    <w:name w:val="Imported Style 31"/>
    <w:pPr>
      <w:numPr>
        <w:numId w:val="68"/>
      </w:numPr>
    </w:pPr>
  </w:style>
  <w:style w:type="numbering" w:styleId="Imported Style 32">
    <w:name w:val="Imported Style 32"/>
    <w:pPr>
      <w:numPr>
        <w:numId w:val="70"/>
      </w:numPr>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numbering" w:styleId="Imported Style 33">
    <w:name w:val="Imported Style 33"/>
    <w:pPr>
      <w:numPr>
        <w:numId w:val="73"/>
      </w:numPr>
    </w:pPr>
  </w:style>
  <w:style w:type="numbering" w:styleId="Imported Style 34">
    <w:name w:val="Imported Style 34"/>
    <w:pPr>
      <w:numPr>
        <w:numId w:val="76"/>
      </w:numPr>
    </w:pPr>
  </w:style>
  <w:style w:type="numbering" w:styleId="Imported Style 35">
    <w:name w:val="Imported Style 35"/>
    <w:pPr>
      <w:numPr>
        <w:numId w:val="78"/>
      </w:numPr>
    </w:pPr>
  </w:style>
  <w:style w:type="numbering" w:styleId="Imported Style 36">
    <w:name w:val="Imported Style 36"/>
    <w:pPr>
      <w:numPr>
        <w:numId w:val="80"/>
      </w:numPr>
    </w:pPr>
  </w:style>
  <w:style w:type="numbering" w:styleId="Imported Style 37">
    <w:name w:val="Imported Style 37"/>
    <w:pPr>
      <w:numPr>
        <w:numId w:val="82"/>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header" Target="header1.xml"/><Relationship Id="rId20" Type="http://schemas.openxmlformats.org/officeDocument/2006/relationships/footer" Target="footer1.xml"/><Relationship Id="rId21" Type="http://schemas.openxmlformats.org/officeDocument/2006/relationships/numbering" Target="numbering.xml"/><Relationship Id="rId2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