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ptos" w:cs="Aptos" w:hAnsi="Aptos" w:eastAsia="Aptos"/>
          <w:b w:val="1"/>
          <w:bCs w:val="1"/>
          <w:sz w:val="32"/>
          <w:szCs w:val="32"/>
        </w:rPr>
      </w:pPr>
      <w:r>
        <w:rPr>
          <w:rFonts w:ascii="Aptos" w:cs="Aptos" w:hAnsi="Aptos" w:eastAsia="Aptos"/>
          <w:b w:val="1"/>
          <w:bCs w:val="1"/>
          <w:sz w:val="32"/>
          <w:szCs w:val="32"/>
          <w:rtl w:val="0"/>
          <w:lang w:val="en-US"/>
        </w:rPr>
        <w:t xml:space="preserve">LOIP 2024/25 </w:t>
      </w:r>
      <w:r>
        <w:rPr>
          <w:rFonts w:ascii="Aptos" w:cs="Aptos" w:hAnsi="Aptos" w:eastAsia="Aptos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Aptos" w:cs="Aptos" w:hAnsi="Aptos" w:eastAsia="Aptos"/>
          <w:b w:val="1"/>
          <w:bCs w:val="1"/>
          <w:sz w:val="32"/>
          <w:szCs w:val="32"/>
          <w:rtl w:val="0"/>
          <w:lang w:val="en-US"/>
        </w:rPr>
        <w:t>Place based Indicators</w:t>
      </w:r>
    </w:p>
    <w:p>
      <w:pPr>
        <w:pStyle w:val="Body"/>
        <w:rPr>
          <w:rFonts w:ascii="Aptos" w:cs="Aptos" w:hAnsi="Aptos" w:eastAsia="Aptos"/>
          <w:b w:val="1"/>
          <w:bCs w:val="1"/>
          <w:sz w:val="32"/>
          <w:szCs w:val="32"/>
        </w:rPr>
      </w:pPr>
      <w:r>
        <w:rPr>
          <w:rFonts w:ascii="Aptos" w:cs="Aptos" w:hAnsi="Aptos" w:eastAsia="Aptos"/>
          <w:b w:val="1"/>
          <w:bCs w:val="1"/>
          <w:sz w:val="32"/>
          <w:szCs w:val="32"/>
          <w:rtl w:val="0"/>
          <w:lang w:val="fr-FR"/>
        </w:rPr>
        <w:t>Section 1</w:t>
      </w:r>
    </w:p>
    <w:tbl>
      <w:tblPr>
        <w:tblW w:w="1459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353"/>
        <w:gridCol w:w="1580"/>
        <w:gridCol w:w="1580"/>
        <w:gridCol w:w="1608"/>
        <w:gridCol w:w="1610"/>
        <w:gridCol w:w="1606"/>
        <w:gridCol w:w="2025"/>
        <w:gridCol w:w="1237"/>
      </w:tblGrid>
      <w:tr>
        <w:tblPrEx>
          <w:shd w:val="clear" w:color="auto" w:fill="cad1d7"/>
        </w:tblPrEx>
        <w:trPr>
          <w:trHeight w:val="350" w:hRule="atLeast"/>
        </w:trPr>
        <w:tc>
          <w:tcPr>
            <w:tcW w:type="dxa" w:w="1459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 xml:space="preserve">THEME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–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WHERE WE LIVE (PLACE)</w:t>
            </w:r>
          </w:p>
        </w:tc>
      </w:tr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1459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LOIP Outcome 9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Capitalise on opportunities to collaborate digitally and eliminate digital exclusion</w:t>
            </w:r>
          </w:p>
        </w:tc>
      </w:tr>
      <w:tr>
        <w:tblPrEx>
          <w:shd w:val="clear" w:color="auto" w:fill="cad1d7"/>
        </w:tblPrEx>
        <w:trPr>
          <w:trHeight w:val="57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Key Performance Measure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2019/20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2020/21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2021/22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2022/23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2023/24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Progress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Trend Status</w:t>
            </w:r>
          </w:p>
        </w:tc>
      </w:tr>
      <w:tr>
        <w:tblPrEx>
          <w:shd w:val="clear" w:color="auto" w:fill="cad1d7"/>
        </w:tblPrEx>
        <w:trPr>
          <w:trHeight w:val="169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Full fibre coverage of premises (%)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(8)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(16)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(26)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19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(39)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26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(52)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Whilst its is an improving picture the trend is significantly lower than the national average.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13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&gt;=30Mbit/s coverage of premises (%)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84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(92)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85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(93)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85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(93)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88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(94)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(95)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Trend dhows an improving picture over the 5 year period.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13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Premises unable to access 10Mbs broadband (%)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(3)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(3)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(3)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(3)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(3)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Trend shows an improving picture over the 5 year period.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70" w:hRule="atLeast"/>
        </w:trPr>
        <w:tc>
          <w:tcPr>
            <w:tcW w:type="dxa" w:w="1459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LOIP Outcome 10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Improve transport connectivity across our region to increase opportunities to access employment, education and leisure, particularly in our most rural areas</w:t>
            </w:r>
          </w:p>
        </w:tc>
      </w:tr>
      <w:tr>
        <w:tblPrEx>
          <w:shd w:val="clear" w:color="auto" w:fill="cad1d7"/>
        </w:tblPrEx>
        <w:trPr>
          <w:trHeight w:val="57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Key Performance Measure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2019/20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2020/21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2021/22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2022/23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2023/24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Progress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Trend Status</w:t>
            </w:r>
          </w:p>
        </w:tc>
      </w:tr>
      <w:tr>
        <w:tblPrEx>
          <w:shd w:val="clear" w:color="auto" w:fill="cad1d7"/>
        </w:tblPrEx>
        <w:trPr>
          <w:trHeight w:val="309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SIMD Access (Percentage of people living in 15% </w:t>
            </w:r>
            <w:r>
              <w:rPr>
                <w:shd w:val="nil" w:color="auto" w:fill="auto"/>
                <w:rtl w:val="0"/>
                <w:lang w:val="en-US"/>
              </w:rPr>
              <w:t>‘</w:t>
            </w:r>
            <w:r>
              <w:rPr>
                <w:shd w:val="nil" w:color="auto" w:fill="auto"/>
                <w:rtl w:val="0"/>
                <w:lang w:val="en-US"/>
              </w:rPr>
              <w:t>most access</w:t>
            </w:r>
            <w:r>
              <w:rPr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shd w:val="nil" w:color="auto" w:fill="auto"/>
                <w:rtl w:val="0"/>
                <w:lang w:val="en-US"/>
              </w:rPr>
              <w:t>deprived areas)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32.6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(15.8)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32.7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(16.2)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32.6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(16.4)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The % of people living in access deprived SIMD areas has remained at a similar level over the 3 year period, however is nearly double the national average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70" w:hRule="atLeast"/>
        </w:trPr>
        <w:tc>
          <w:tcPr>
            <w:tcW w:type="dxa" w:w="1459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LOIP Outcome 11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Work with our communities to help reduce Carbon Emissions and positively combat Climate Change through education, behavioural change and supporting initiatives which will make a positive difference</w:t>
            </w:r>
          </w:p>
        </w:tc>
      </w:tr>
      <w:tr>
        <w:tblPrEx>
          <w:shd w:val="clear" w:color="auto" w:fill="cad1d7"/>
        </w:tblPrEx>
        <w:trPr>
          <w:trHeight w:val="57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Key Performance Measure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2019/20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2020/21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2021/22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2022/23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2023/24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Progress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Trend Status</w:t>
            </w:r>
          </w:p>
        </w:tc>
      </w:tr>
      <w:tr>
        <w:tblPrEx>
          <w:shd w:val="clear" w:color="auto" w:fill="cad1d7"/>
        </w:tblPrEx>
        <w:trPr>
          <w:trHeight w:val="113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Carbon Emissions (Carbon dioxide (CO2) emissions per capita)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6.63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(4.66)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5.99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(4.12)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6.84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(4.56)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5.7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(4.3) 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The five year trend shows an improving picture.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13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household waste recycled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29.52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(44.85)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30.10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(42.01)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39.83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(43.00)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45.05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(43.34)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41.2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(43.5)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The five year trend shows an improving picture.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70" w:hRule="atLeast"/>
        </w:trPr>
        <w:tc>
          <w:tcPr>
            <w:tcW w:type="dxa" w:w="1459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LOIP Outcome 12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Develop high quality , affordable homes to help meet identified demand and improve the quality of lives of our communities</w:t>
            </w:r>
          </w:p>
        </w:tc>
      </w:tr>
      <w:tr>
        <w:tblPrEx>
          <w:shd w:val="clear" w:color="auto" w:fill="cad1d7"/>
        </w:tblPrEx>
        <w:trPr>
          <w:trHeight w:val="57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Key Performance Measure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2019/20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2020/21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2021/22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2022/23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2023/24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Progress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Trend Status</w:t>
            </w:r>
          </w:p>
        </w:tc>
      </w:tr>
      <w:tr>
        <w:tblPrEx>
          <w:shd w:val="clear" w:color="auto" w:fill="cad1d7"/>
        </w:tblPrEx>
        <w:trPr>
          <w:trHeight w:val="197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Crime Rate (per 10,000 working age population)</w:t>
            </w:r>
          </w:p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Source: Scottish Government Recorded Crimes in Scotland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570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(564)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555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(554)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588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(529)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530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(531)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541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ptos" w:cs="Aptos" w:hAnsi="Aptos" w:eastAsia="Aptos"/>
                <w:b w:val="0"/>
                <w:bCs w:val="0"/>
                <w:shd w:val="nil" w:color="auto" w:fill="auto"/>
                <w:rtl w:val="0"/>
                <w:lang w:val="en-US"/>
              </w:rPr>
              <w:t>(546)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The 5-year trend has shown an improvement, with the last 2 years being below the national average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61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Dwelling Fires (Number of dwelling fires per 100,000 population)</w:t>
            </w:r>
          </w:p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Source: Community Planning Outcome Profiles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65.83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(89.50)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49.90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(85.29)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61.83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(84.52)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60.4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(79.02)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97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Percentage of dwellings with an Environmental Performance Certificate band C or above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Source: Scottish Government: Domestic Energy Performance Certificates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(60.75)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33.82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(63.07)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39.07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(64.8)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34.65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(66.53)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49.03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(64.56)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The five year trend has shown an overall improvement but still well below the national average.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5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Common Assault (per 10,000 population)</w:t>
            </w:r>
          </w:p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Source: Scottish Government Recorded Crimes in Scotland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119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(107)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104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(96)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123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(108)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104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(106)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(108)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There have been fluctuations across the 5 year reporting period with Dumfries and Galloway sitting above the national average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9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Breach of the peace (Crude rate per 10,000 population) N.B. now classed under </w:t>
            </w:r>
            <w:r>
              <w:rPr>
                <w:shd w:val="nil" w:color="auto" w:fill="auto"/>
                <w:rtl w:val="0"/>
                <w:lang w:val="en-US"/>
              </w:rPr>
              <w:t>“</w:t>
            </w:r>
            <w:r>
              <w:rPr>
                <w:shd w:val="nil" w:color="auto" w:fill="auto"/>
                <w:rtl w:val="0"/>
                <w:lang w:val="en-US"/>
              </w:rPr>
              <w:t>Threatening /Abusive Behaviour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</w:p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Source: Scottish Government Recorded Crimes in Scotland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124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(91)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117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(90)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136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(88)</w:t>
            </w:r>
          </w:p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121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(80)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114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(78)</w:t>
            </w:r>
          </w:p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Whilst the D&amp;G trend has continued to decrease over the last 3 years, the current figures are sitting above the national average.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890" w:hRule="atLeast"/>
        </w:trPr>
        <w:tc>
          <w:tcPr>
            <w:tcW w:type="dxa" w:w="3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Road traffic accident casualties (Age-sex standardised rate per 100,000)*</w:t>
            </w:r>
          </w:p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Source: Scottish Public Health Observatory (ScotPHO)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69.2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(54.7)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69.8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(51)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Aptos" w:cs="Aptos" w:hAnsi="Aptos" w:eastAsia="Aptos"/>
          <w:b w:val="1"/>
          <w:bCs w:val="1"/>
          <w:sz w:val="32"/>
          <w:szCs w:val="32"/>
        </w:rPr>
      </w:pPr>
    </w:p>
    <w:p>
      <w:pPr>
        <w:pStyle w:val="Body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rFonts w:ascii="Aptos" w:cs="Aptos" w:hAnsi="Aptos" w:eastAsia="Aptos"/>
          <w:b w:val="1"/>
          <w:bCs w:val="1"/>
          <w:sz w:val="32"/>
          <w:szCs w:val="32"/>
        </w:rPr>
      </w:pPr>
      <w:r>
        <w:rPr>
          <w:rFonts w:ascii="Aptos" w:cs="Aptos" w:hAnsi="Aptos" w:eastAsia="Aptos"/>
          <w:b w:val="1"/>
          <w:bCs w:val="1"/>
          <w:sz w:val="32"/>
          <w:szCs w:val="32"/>
          <w:rtl w:val="0"/>
          <w:lang w:val="fr-FR"/>
        </w:rPr>
        <w:t>Section 2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Examples of Place based stats used for Kirkconnel/Kelloholm Locality Plan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</w:rPr>
        <w:t xml:space="preserve"> </w:t>
      </w:r>
      <w:r>
        <w:rPr>
          <w:rFonts w:ascii="Aptos" w:cs="Aptos" w:hAnsi="Aptos" w:eastAsia="Aptos"/>
          <w:b w:val="1"/>
          <w:bCs w:val="1"/>
        </w:rPr>
        <w:drawing xmlns:a="http://schemas.openxmlformats.org/drawingml/2006/main">
          <wp:inline distT="0" distB="0" distL="0" distR="0">
            <wp:extent cx="8863330" cy="2586990"/>
            <wp:effectExtent l="0" t="0" r="0" b="0"/>
            <wp:docPr id="1073741827" name="officeArt object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screenshot of a computerAI-generated content may be incorrect." descr="A screenshot of a computer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86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</w:pPr>
      <w:r>
        <w:drawing xmlns:a="http://schemas.openxmlformats.org/drawingml/2006/main">
          <wp:inline distT="0" distB="0" distL="0" distR="0">
            <wp:extent cx="4235668" cy="2006703"/>
            <wp:effectExtent l="0" t="0" r="0" b="0"/>
            <wp:docPr id="1073741828" name="officeArt object" descr="A table with text and numb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 table with text and numbersAI-generated content may be incorrect." descr="A table with text and numbers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668" cy="20067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39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649"/>
        <w:gridCol w:w="4649"/>
        <w:gridCol w:w="4650"/>
      </w:tblGrid>
      <w:tr>
        <w:tblPrEx>
          <w:shd w:val="clear" w:color="auto" w:fill="cad1d7"/>
        </w:tblPrEx>
        <w:trPr>
          <w:trHeight w:val="2174" w:hRule="atLeast"/>
        </w:trPr>
        <w:tc>
          <w:tcPr>
            <w:tcW w:type="dxa" w:w="4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Education Locality based stats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Attendance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Attainment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Participation measure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School leaver information/positive destinations</w:t>
            </w:r>
            <w:r>
              <w:rPr>
                <w:shd w:val="nil" w:color="auto" w:fill="auto"/>
              </w:rPr>
            </w:r>
          </w:p>
        </w:tc>
        <w:tc>
          <w:tcPr>
            <w:tcW w:type="dxa" w:w="4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Work and Economy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No. of private businesses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Labour market participation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Employment-population ratio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Employment/unemployment rate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Workplace based employment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Claimant count unemployed</w:t>
            </w:r>
          </w:p>
        </w:tc>
        <w:tc>
          <w:tcPr>
            <w:tcW w:type="dxa" w:w="4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Housing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% social housing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rFonts w:ascii="Aptos" w:cs="Aptos" w:hAnsi="Aptos" w:eastAsia="Aptos"/>
          <w:b w:val="1"/>
          <w:bCs w:val="1"/>
          <w:sz w:val="32"/>
          <w:szCs w:val="32"/>
        </w:rPr>
      </w:pPr>
      <w:r>
        <w:rPr>
          <w:rFonts w:ascii="Aptos" w:cs="Aptos" w:hAnsi="Aptos" w:eastAsia="Aptos"/>
          <w:b w:val="1"/>
          <w:bCs w:val="1"/>
          <w:sz w:val="32"/>
          <w:szCs w:val="32"/>
          <w:rtl w:val="0"/>
          <w:lang w:val="fr-FR"/>
        </w:rPr>
        <w:t>Section 3</w:t>
      </w:r>
    </w:p>
    <w:p>
      <w:pPr>
        <w:pStyle w:val="Body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673487" cy="3549832"/>
            <wp:effectExtent l="0" t="0" r="0" b="0"/>
            <wp:wrapSquare wrapText="bothSides" distL="57150" distR="57150" distT="57150" distB="57150"/>
            <wp:docPr id="1073741829" name="officeArt object" descr="A diagram of a circular diagr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diagram of a circular diagramAI-generated content may be incorrect." descr="A diagram of a circular diagram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487" cy="3549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tabs>
          <w:tab w:val="left" w:pos="1930"/>
        </w:tabs>
      </w:pPr>
      <w:r>
        <w:tab/>
        <w:br w:type="textWrapping"/>
      </w:r>
    </w:p>
    <w:p>
      <w:pPr>
        <w:pStyle w:val="Body"/>
        <w:tabs>
          <w:tab w:val="left" w:pos="1930"/>
        </w:tabs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Statistics from measuring impact of Council Plan which contribute to Place and Wellbeing Outcomes(above)</w:t>
      </w:r>
    </w:p>
    <w:tbl>
      <w:tblPr>
        <w:tblW w:w="139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078"/>
        <w:gridCol w:w="1951"/>
        <w:gridCol w:w="1853"/>
        <w:gridCol w:w="2281"/>
        <w:gridCol w:w="1812"/>
        <w:gridCol w:w="2256"/>
        <w:gridCol w:w="1717"/>
      </w:tblGrid>
      <w:tr>
        <w:tblPrEx>
          <w:shd w:val="clear" w:color="auto" w:fill="cad1d7"/>
        </w:tblPrEx>
        <w:trPr>
          <w:trHeight w:val="29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Stewardship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Movement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Spaces</w:t>
            </w:r>
          </w:p>
        </w:tc>
        <w:tc>
          <w:tcPr>
            <w:tcW w:type="dxa" w:w="63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Resources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Civic</w:t>
            </w:r>
          </w:p>
        </w:tc>
      </w:tr>
      <w:tr>
        <w:tblPrEx>
          <w:shd w:val="clear" w:color="auto" w:fill="cad1d7"/>
        </w:tblPrEx>
        <w:trPr>
          <w:trHeight w:val="197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CO2 emissions area per capita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Main mode of travel - Walking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Street Cleanliness score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Proportion of properties receiving Superfast Broadband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Value of Inward Investment opportunities secured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days to process Council Tax Reduction (new claims)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farms checked to ensure legal compliance in their trading activities</w:t>
            </w:r>
          </w:p>
        </w:tc>
      </w:tr>
      <w:tr>
        <w:tblPrEx>
          <w:shd w:val="clear" w:color="auto" w:fill="cad1d7"/>
        </w:tblPrEx>
        <w:trPr>
          <w:trHeight w:val="449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Number of adults and young people taking part in influence and engagement activity through CLD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(including community planning / participatory budgeting / local and national consultations / coproduction and influencing service design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Main mode of travel - Bicycle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Proportion of adults satisfied with street cleaning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Premises able to access Superfast Fibre Broadband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Value of investment in Net Zero opportunities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Homeless households who have been permanently rehoused as a percentage of all social rented lets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The percentage of failed water samples followed up</w:t>
            </w:r>
          </w:p>
        </w:tc>
      </w:tr>
      <w:tr>
        <w:tblPrEx>
          <w:shd w:val="clear" w:color="auto" w:fill="cad1d7"/>
        </w:tblPrEx>
        <w:trPr>
          <w:trHeight w:val="225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adults supported at home who agree that they had a say in how their help, care or support was provided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Main mode of travel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bus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Proportion of total household waste arising that is recycled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NEC new, renewal and replacement applications made online via GetyourNEC.scot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Value of investment in Natural Capital opportunities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successful interventions on tenancy evictions which prevent homelessness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1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adults supported at home who agree that their services and support had an impact in improving or maintaining their quality of life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Frequency of walking in previous 7 days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adults satisfied with refuse collection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new library members who apply online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Investment in Economic Development and Tourism per 1,000 population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Value of additional benefits identified through Financial Inclusion Advice income maximisation services which will focus on pension age benefits only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5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adults supported at home who agree that they are supported to live as independently as possible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Adults (16+)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who used a local bus service in the past month agreed buses are environmentally friendly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Proportion of adults satisfied with parks and open spaces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library resources borrowed online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Immediate available employment land as a % of total land allocated for employment purposes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Community Care Grant Decisions within 15 days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5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Adults (16+)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who used a local bus service in the past month agreed finding out about routes and times is easy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A class roads considered for maintenance treatment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Total subscriber profiles on GovDelivery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Proportion of increase in client turnover from community, green and inclusive enterprises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days to process Council Tax Reduction (new claims)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69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Adults (16+)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who used local bus services in previous month 2 or 3 times a week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B class roads considered for maintenance treatment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Proportion of adults satisfied with local schools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Private Sector Business Sites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days to process Housing Benefit (New Claims)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69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Customer satisfaction with pavements and footpaths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C class roads considered for maintenance treatment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Proportion of pupils entering positive destinations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business gateway start-ups per 10,000 population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participants on sessions for those with a disability/additional support needs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97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Customer satisfaction with respect to the condition of cycle routes/lanes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unclassified roads considered for maintenance treatment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Participation rate for 16-19 year olds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young people who start-up businesses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adult participants referred to council physical activity sessions through social prescribing by NHS Partners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97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Adults</w:t>
            </w:r>
            <w:r>
              <w:rPr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shd w:val="nil" w:color="auto" w:fill="auto"/>
                <w:rtl w:val="0"/>
                <w:lang w:val="en-US"/>
              </w:rPr>
              <w:t>views on satisfaction with public transport in the previous month</w:t>
            </w:r>
          </w:p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Customer satisfaction safety on the roads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Modern Apprenticeship achievements as a percentage of all leavers in Dumfries and Galloway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new business starts with female ownership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participants attending Community based physical activity opportunities for adults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1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Customer satisfaction street lighting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non school facilities providing adult learning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Quarterly business creations and closures per 10,000 adults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children and young people with improved mental health and wellbeing outcomes through Community Learning and Development activity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3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Customer satisfaction with respect to the condition of road surfaces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online digital classes per year for adult learners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Business Survival Rate (3 Year)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adults with improved mental health and wellbeing outcomes through Community Learning and Development activity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13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adults engaged in lifelong learning activity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Proportion of people earning less than the living wage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jobs supported (created, safeguarded or transitioned)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97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adults engaged in Community Learning and Development activity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unemployed people assisted to work from Council programmes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Planned Jobs from completed inward investment projects</w:t>
            </w:r>
            <w:r>
              <w:rPr>
                <w:shd w:val="nil" w:color="auto" w:fill="auto"/>
              </w:rPr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41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adults completing a nationally accredited award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Claimant count as a percentage of working age population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Job Postings by Occupation category</w:t>
            </w:r>
            <w:r>
              <w:rPr>
                <w:shd w:val="nil" w:color="auto" w:fill="auto"/>
              </w:rPr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37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adults engaged in family learning through Community Learning and Development activity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Payrolled Employment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Percentage of young people and adults who report an Improvement in their confidence, skills, individual, family, community or working life following participation in lifelong learning activities</w:t>
            </w:r>
          </w:p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3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adults and young people reached and engaged with through one off promotional events / drop-ins / community events / engagements / etc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Residence-based Employment by Industry sector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250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Number of children, young person and adults supported to improve their life chances through participation in lifelong learning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30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Residence-based Employment by Occupation</w:t>
            </w:r>
          </w:p>
          <w:p>
            <w:pPr>
              <w:pStyle w:val="Body"/>
              <w:tabs>
                <w:tab w:val="left" w:pos="1930"/>
              </w:tabs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93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Job Postings by Industry Sector</w:t>
            </w:r>
          </w:p>
        </w:tc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1930"/>
        </w:tabs>
        <w:spacing w:line="240" w:lineRule="auto"/>
      </w:pPr>
      <w:r>
        <w:rPr>
          <w:rFonts w:ascii="Aptos" w:cs="Aptos" w:hAnsi="Aptos" w:eastAsia="Aptos"/>
          <w:b w:val="1"/>
          <w:bCs w:val="1"/>
        </w:rPr>
      </w:r>
    </w:p>
    <w:sectPr>
      <w:headerReference w:type="default" r:id="rId7"/>
      <w:footerReference w:type="default" r:id="rId8"/>
      <w:pgSz w:w="16840" w:h="11900" w:orient="landscape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145304</wp:posOffset>
              </wp:positionV>
              <wp:extent cx="472083" cy="137071"/>
              <wp:effectExtent l="0" t="0" r="0" b="0"/>
              <wp:wrapNone/>
              <wp:docPr id="1073741825" name="officeArt object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083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/>
                          </w:pPr>
                          <w:r>
                            <w:rPr>
                              <w:rFonts w:ascii="Calibri" w:hAnsi="Calibri"/>
                              <w:outline w:val="0"/>
                              <w:color w:val="0078d7"/>
                              <w:sz w:val="20"/>
                              <w:szCs w:val="20"/>
                              <w:u w:color="0078d7"/>
                              <w:rtl w:val="0"/>
                              <w:lang w:val="en-US"/>
                              <w14:textFill>
                                <w14:solidFill>
                                  <w14:srgbClr w14:val="0078D7"/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02.9pt;margin-top:11.4pt;width:37.2pt;height:10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/>
                    </w:pPr>
                    <w:r>
                      <w:rPr>
                        <w:rFonts w:ascii="Calibri" w:hAnsi="Calibri"/>
                        <w:outline w:val="0"/>
                        <w:color w:val="0078d7"/>
                        <w:sz w:val="20"/>
                        <w:szCs w:val="20"/>
                        <w:u w:color="0078d7"/>
                        <w:rtl w:val="0"/>
                        <w:lang w:val="en-US"/>
                        <w14:textFill>
                          <w14:solidFill>
                            <w14:srgbClr w14:val="0078D7"/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7190104</wp:posOffset>
              </wp:positionV>
              <wp:extent cx="472083" cy="137071"/>
              <wp:effectExtent l="0" t="0" r="0" b="0"/>
              <wp:wrapNone/>
              <wp:docPr id="1073741826" name="officeArt object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083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/>
                          </w:pPr>
                          <w:r>
                            <w:rPr>
                              <w:rFonts w:ascii="Calibri" w:hAnsi="Calibri"/>
                              <w:outline w:val="0"/>
                              <w:color w:val="0078d7"/>
                              <w:sz w:val="20"/>
                              <w:szCs w:val="20"/>
                              <w:u w:color="0078d7"/>
                              <w:rtl w:val="0"/>
                              <w:lang w:val="en-US"/>
                              <w14:textFill>
                                <w14:solidFill>
                                  <w14:srgbClr w14:val="0078D7"/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02.9pt;margin-top:566.1pt;width:37.2pt;height:10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/>
                    </w:pPr>
                    <w:r>
                      <w:rPr>
                        <w:rFonts w:ascii="Calibri" w:hAnsi="Calibri"/>
                        <w:outline w:val="0"/>
                        <w:color w:val="0078d7"/>
                        <w:sz w:val="20"/>
                        <w:szCs w:val="20"/>
                        <w:u w:color="0078d7"/>
                        <w:rtl w:val="0"/>
                        <w:lang w:val="en-US"/>
                        <w14:textFill>
                          <w14:solidFill>
                            <w14:srgbClr w14:val="0078D7"/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